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Pr="00EC176E" w:rsidRDefault="00F56155" w:rsidP="00AB2F3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3D27F0">
        <w:rPr>
          <w:b/>
          <w:color w:val="000000"/>
          <w:sz w:val="24"/>
          <w:szCs w:val="24"/>
        </w:rPr>
        <w:t xml:space="preserve"> </w:t>
      </w:r>
      <w:r w:rsidR="003D27F0" w:rsidRPr="00EC176E">
        <w:rPr>
          <w:b/>
          <w:sz w:val="24"/>
          <w:szCs w:val="24"/>
        </w:rPr>
        <w:t>ЖЕЛЕЗОБЕТОННЫХ ИЗДЕЛИЙ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0F1F34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0F1F34">
        <w:t xml:space="preserve">1. Способ </w:t>
      </w:r>
      <w:r w:rsidR="00F56155" w:rsidRPr="000F1F34">
        <w:t xml:space="preserve">осуществления </w:t>
      </w:r>
      <w:r w:rsidR="008F43DF" w:rsidRPr="000F1F34">
        <w:t xml:space="preserve">закупки: </w:t>
      </w:r>
      <w:r w:rsidR="004E6616" w:rsidRPr="000F1F34">
        <w:rPr>
          <w:b w:val="0"/>
        </w:rPr>
        <w:t>запрос</w:t>
      </w:r>
      <w:r w:rsidR="008E14B6" w:rsidRPr="000F1F34">
        <w:rPr>
          <w:b w:val="0"/>
        </w:rPr>
        <w:t xml:space="preserve"> котировок в электронной форме</w:t>
      </w:r>
      <w:r w:rsidR="005024E2" w:rsidRPr="000F1F34">
        <w:rPr>
          <w:b w:val="0"/>
        </w:rPr>
        <w:t xml:space="preserve"> </w:t>
      </w:r>
      <w:r w:rsidR="00FB0839" w:rsidRPr="000F1F34">
        <w:rPr>
          <w:b w:val="0"/>
          <w:color w:val="000000"/>
        </w:rPr>
        <w:t xml:space="preserve">(далее </w:t>
      </w:r>
      <w:r w:rsidR="000F1F34" w:rsidRPr="000F1F34">
        <w:rPr>
          <w:b w:val="0"/>
          <w:color w:val="000000"/>
        </w:rPr>
        <w:t>–</w:t>
      </w:r>
      <w:r w:rsidR="00FB0839" w:rsidRPr="000F1F34">
        <w:rPr>
          <w:b w:val="0"/>
          <w:color w:val="000000"/>
        </w:rPr>
        <w:t xml:space="preserve"> запрос котировок)</w:t>
      </w:r>
      <w:r w:rsidR="008E14B6" w:rsidRPr="000F1F34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0F1F34">
        <w:rPr>
          <w:b/>
          <w:sz w:val="24"/>
          <w:szCs w:val="24"/>
        </w:rPr>
        <w:t>1.1.</w:t>
      </w:r>
      <w:r w:rsidR="003A28BB" w:rsidRPr="000F1F34">
        <w:rPr>
          <w:b/>
          <w:sz w:val="24"/>
          <w:szCs w:val="24"/>
        </w:rPr>
        <w:t xml:space="preserve"> </w:t>
      </w:r>
      <w:r w:rsidRPr="000F1F34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0F1F34">
        <w:rPr>
          <w:b/>
          <w:sz w:val="24"/>
          <w:szCs w:val="24"/>
        </w:rPr>
        <w:t>:</w:t>
      </w:r>
      <w:r w:rsidR="000F1F34" w:rsidRPr="000F1F34">
        <w:rPr>
          <w:b/>
          <w:sz w:val="24"/>
          <w:szCs w:val="24"/>
        </w:rPr>
        <w:t xml:space="preserve"> </w:t>
      </w:r>
      <w:r w:rsidR="000F1F34" w:rsidRPr="000F1F34">
        <w:rPr>
          <w:b/>
          <w:sz w:val="24"/>
          <w:szCs w:val="24"/>
        </w:rPr>
        <w:br/>
      </w:r>
      <w:r w:rsidR="000F1F34" w:rsidRPr="000F1F34">
        <w:rPr>
          <w:sz w:val="24"/>
          <w:szCs w:val="24"/>
        </w:rPr>
        <w:t>(АО «</w:t>
      </w:r>
      <w:r w:rsidR="000F1F34" w:rsidRPr="000F1F34">
        <w:rPr>
          <w:sz w:val="24"/>
          <w:szCs w:val="24"/>
          <w:lang w:val="en-US"/>
        </w:rPr>
        <w:t>OTC</w:t>
      </w:r>
      <w:r w:rsidR="000F1F34" w:rsidRPr="000F1F34">
        <w:rPr>
          <w:sz w:val="24"/>
          <w:szCs w:val="24"/>
        </w:rPr>
        <w:t xml:space="preserve">») </w:t>
      </w:r>
      <w:hyperlink r:id="rId9" w:history="1">
        <w:r w:rsidR="000F1F34" w:rsidRPr="000F1F34">
          <w:rPr>
            <w:rStyle w:val="a9"/>
            <w:color w:val="auto"/>
            <w:sz w:val="24"/>
            <w:szCs w:val="24"/>
            <w:lang w:val="en-US"/>
          </w:rPr>
          <w:t>http</w:t>
        </w:r>
        <w:r w:rsidR="000F1F34" w:rsidRPr="000F1F34">
          <w:rPr>
            <w:rStyle w:val="a9"/>
            <w:color w:val="auto"/>
            <w:sz w:val="24"/>
            <w:szCs w:val="24"/>
          </w:rPr>
          <w:t>://</w:t>
        </w:r>
        <w:r w:rsidR="000F1F34" w:rsidRPr="000F1F34">
          <w:rPr>
            <w:rStyle w:val="a9"/>
            <w:color w:val="auto"/>
            <w:sz w:val="24"/>
            <w:szCs w:val="24"/>
            <w:lang w:val="en-US"/>
          </w:rPr>
          <w:t>tender</w:t>
        </w:r>
        <w:r w:rsidR="000F1F34" w:rsidRPr="000F1F34">
          <w:rPr>
            <w:rStyle w:val="a9"/>
            <w:color w:val="auto"/>
            <w:sz w:val="24"/>
            <w:szCs w:val="24"/>
          </w:rPr>
          <w:t>.</w:t>
        </w:r>
        <w:r w:rsidR="000F1F34" w:rsidRPr="000F1F34">
          <w:rPr>
            <w:rStyle w:val="a9"/>
            <w:color w:val="auto"/>
            <w:sz w:val="24"/>
            <w:szCs w:val="24"/>
            <w:lang w:val="en-US"/>
          </w:rPr>
          <w:t>otc</w:t>
        </w:r>
        <w:r w:rsidR="000F1F34" w:rsidRPr="000F1F34">
          <w:rPr>
            <w:rStyle w:val="a9"/>
            <w:color w:val="auto"/>
            <w:sz w:val="24"/>
            <w:szCs w:val="24"/>
          </w:rPr>
          <w:t>.</w:t>
        </w:r>
        <w:r w:rsidR="000F1F34" w:rsidRPr="000F1F34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5F53EB" w:rsidRPr="000F1F34">
        <w:rPr>
          <w:rStyle w:val="a9"/>
          <w:color w:val="auto"/>
          <w:sz w:val="24"/>
          <w:szCs w:val="24"/>
        </w:rPr>
        <w:t xml:space="preserve"> </w:t>
      </w:r>
      <w:r w:rsidR="00C02939" w:rsidRPr="000F1F34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3D27F0" w:rsidRPr="00EC176E">
        <w:rPr>
          <w:sz w:val="24"/>
          <w:szCs w:val="24"/>
        </w:rPr>
        <w:t>Поставка железобетонных изделий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EC476F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EC476F">
        <w:rPr>
          <w:b/>
          <w:color w:val="000000"/>
          <w:sz w:val="24"/>
          <w:szCs w:val="24"/>
        </w:rPr>
        <w:t>5</w:t>
      </w:r>
      <w:r w:rsidR="004C6ED2" w:rsidRPr="00EC476F">
        <w:rPr>
          <w:b/>
          <w:color w:val="000000"/>
          <w:sz w:val="24"/>
          <w:szCs w:val="24"/>
        </w:rPr>
        <w:t xml:space="preserve">.1. Место </w:t>
      </w:r>
      <w:r w:rsidR="0068219B" w:rsidRPr="00EC476F">
        <w:rPr>
          <w:b/>
          <w:color w:val="000000"/>
          <w:sz w:val="24"/>
          <w:szCs w:val="24"/>
        </w:rPr>
        <w:t>поставки</w:t>
      </w:r>
      <w:r w:rsidR="009A663E" w:rsidRPr="00EC476F">
        <w:rPr>
          <w:b/>
          <w:color w:val="000000"/>
          <w:sz w:val="24"/>
          <w:szCs w:val="24"/>
        </w:rPr>
        <w:t xml:space="preserve"> товара</w:t>
      </w:r>
      <w:r w:rsidR="004C6ED2" w:rsidRPr="00EC476F">
        <w:rPr>
          <w:b/>
          <w:color w:val="000000"/>
          <w:sz w:val="24"/>
          <w:szCs w:val="24"/>
        </w:rPr>
        <w:t>:</w:t>
      </w:r>
      <w:r w:rsidR="00275D16">
        <w:rPr>
          <w:b/>
          <w:color w:val="000000"/>
          <w:sz w:val="24"/>
          <w:szCs w:val="24"/>
        </w:rPr>
        <w:t xml:space="preserve"> </w:t>
      </w:r>
      <w:r w:rsidR="00031F89" w:rsidRPr="00EC476F">
        <w:rPr>
          <w:color w:val="000000"/>
          <w:sz w:val="24"/>
          <w:szCs w:val="24"/>
        </w:rPr>
        <w:t>РТ, Нижнекамский район, г. Нижнекамск, ул. Первопроходцев, д. 12</w:t>
      </w:r>
      <w:proofErr w:type="gramStart"/>
      <w:r w:rsidR="00031F89" w:rsidRPr="00EC476F">
        <w:rPr>
          <w:color w:val="000000"/>
          <w:sz w:val="24"/>
          <w:szCs w:val="24"/>
        </w:rPr>
        <w:t xml:space="preserve"> А</w:t>
      </w:r>
      <w:proofErr w:type="gramEnd"/>
      <w:r w:rsidR="00031F89" w:rsidRPr="00EC476F">
        <w:rPr>
          <w:color w:val="000000"/>
          <w:sz w:val="24"/>
          <w:szCs w:val="24"/>
        </w:rPr>
        <w:t>, склад Заказчика.</w:t>
      </w:r>
    </w:p>
    <w:p w:rsidR="00031F89" w:rsidRPr="00EC476F" w:rsidRDefault="00756F69" w:rsidP="00046462">
      <w:pPr>
        <w:jc w:val="both"/>
        <w:rPr>
          <w:bCs/>
          <w:color w:val="000000"/>
          <w:sz w:val="24"/>
          <w:szCs w:val="24"/>
        </w:rPr>
      </w:pPr>
      <w:r w:rsidRPr="00EC476F">
        <w:rPr>
          <w:b/>
          <w:sz w:val="24"/>
          <w:szCs w:val="24"/>
        </w:rPr>
        <w:t>5</w:t>
      </w:r>
      <w:r w:rsidR="004C6ED2" w:rsidRPr="00EC476F">
        <w:rPr>
          <w:b/>
          <w:sz w:val="24"/>
          <w:szCs w:val="24"/>
        </w:rPr>
        <w:t xml:space="preserve">.2. Условия </w:t>
      </w:r>
      <w:r w:rsidR="00810ED5" w:rsidRPr="00EC476F">
        <w:rPr>
          <w:b/>
          <w:sz w:val="24"/>
          <w:szCs w:val="24"/>
        </w:rPr>
        <w:t>поставки</w:t>
      </w:r>
      <w:r w:rsidR="009A663E" w:rsidRPr="00EC476F">
        <w:rPr>
          <w:b/>
          <w:sz w:val="24"/>
          <w:szCs w:val="24"/>
        </w:rPr>
        <w:t xml:space="preserve"> товара</w:t>
      </w:r>
      <w:r w:rsidR="004C6ED2" w:rsidRPr="00EC476F">
        <w:rPr>
          <w:b/>
          <w:sz w:val="24"/>
          <w:szCs w:val="24"/>
        </w:rPr>
        <w:t>:</w:t>
      </w:r>
      <w:r w:rsidR="00B64457" w:rsidRPr="00EC476F">
        <w:rPr>
          <w:b/>
          <w:sz w:val="24"/>
          <w:szCs w:val="24"/>
        </w:rPr>
        <w:t xml:space="preserve"> </w:t>
      </w:r>
      <w:r w:rsidR="00031F89" w:rsidRPr="00EC476F">
        <w:rPr>
          <w:sz w:val="24"/>
          <w:szCs w:val="24"/>
        </w:rPr>
        <w:t>Поставка Товара осуществляется силами и за счет средств Поставщика</w:t>
      </w:r>
      <w:r w:rsidR="00031F89" w:rsidRPr="00EC476F">
        <w:rPr>
          <w:bCs/>
          <w:color w:val="000000"/>
          <w:sz w:val="24"/>
          <w:szCs w:val="24"/>
        </w:rPr>
        <w:t xml:space="preserve"> в рабочие дни, с понедельника по пятницу в согласованное с Заказчиком время и дату. </w:t>
      </w:r>
      <w:r w:rsidR="00031F89" w:rsidRPr="00EC476F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EC476F">
        <w:rPr>
          <w:bCs/>
          <w:color w:val="000000"/>
          <w:sz w:val="24"/>
          <w:szCs w:val="24"/>
        </w:rPr>
        <w:t>письменной</w:t>
      </w:r>
      <w:r w:rsidR="00031F89" w:rsidRPr="00EC476F">
        <w:rPr>
          <w:sz w:val="24"/>
          <w:szCs w:val="24"/>
        </w:rPr>
        <w:t xml:space="preserve"> заявкой Заказчика, </w:t>
      </w:r>
      <w:r w:rsidR="00031F89" w:rsidRPr="00EC476F">
        <w:rPr>
          <w:bCs/>
          <w:color w:val="000000"/>
          <w:sz w:val="24"/>
          <w:szCs w:val="24"/>
        </w:rPr>
        <w:t>которые могут быть направлены Поставщику с момента заключения договора по 30.</w:t>
      </w:r>
      <w:r w:rsidR="000F1F34" w:rsidRPr="00EC476F">
        <w:rPr>
          <w:bCs/>
          <w:color w:val="000000"/>
          <w:sz w:val="24"/>
          <w:szCs w:val="24"/>
        </w:rPr>
        <w:t>06</w:t>
      </w:r>
      <w:r w:rsidR="00031F89" w:rsidRPr="00EC476F">
        <w:rPr>
          <w:bCs/>
          <w:color w:val="000000"/>
          <w:sz w:val="24"/>
          <w:szCs w:val="24"/>
        </w:rPr>
        <w:t xml:space="preserve">.2021 г. </w:t>
      </w:r>
      <w:r w:rsidR="00854945" w:rsidRPr="00EC476F">
        <w:rPr>
          <w:sz w:val="24"/>
          <w:szCs w:val="24"/>
        </w:rPr>
        <w:t>Минималь</w:t>
      </w:r>
      <w:r w:rsidR="000F1F34" w:rsidRPr="00EC476F">
        <w:rPr>
          <w:sz w:val="24"/>
          <w:szCs w:val="24"/>
        </w:rPr>
        <w:t>ная партия поставки товара: 1 шт</w:t>
      </w:r>
      <w:r w:rsidR="00854945" w:rsidRPr="00EC476F">
        <w:rPr>
          <w:sz w:val="24"/>
          <w:szCs w:val="24"/>
        </w:rPr>
        <w:t xml:space="preserve">. </w:t>
      </w:r>
      <w:r w:rsidR="00031F89" w:rsidRPr="00EC476F">
        <w:rPr>
          <w:sz w:val="24"/>
          <w:szCs w:val="24"/>
        </w:rPr>
        <w:t>Участник (</w:t>
      </w:r>
      <w:r w:rsidR="00031F89" w:rsidRPr="00EC476F">
        <w:rPr>
          <w:bCs/>
          <w:color w:val="000000"/>
          <w:sz w:val="24"/>
          <w:szCs w:val="24"/>
        </w:rPr>
        <w:t>Поставщик) обязан в течение 7 (Семи) рабочих 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EC476F">
        <w:rPr>
          <w:b/>
          <w:sz w:val="24"/>
          <w:szCs w:val="24"/>
        </w:rPr>
        <w:t>5</w:t>
      </w:r>
      <w:r w:rsidR="004C6ED2" w:rsidRPr="00EC476F">
        <w:rPr>
          <w:b/>
          <w:sz w:val="24"/>
          <w:szCs w:val="24"/>
        </w:rPr>
        <w:t>.3.</w:t>
      </w:r>
      <w:r w:rsidR="00CC357E" w:rsidRPr="00EC476F">
        <w:rPr>
          <w:b/>
          <w:sz w:val="24"/>
          <w:szCs w:val="24"/>
        </w:rPr>
        <w:t> </w:t>
      </w:r>
      <w:r w:rsidR="004C6ED2" w:rsidRPr="00EC476F">
        <w:rPr>
          <w:b/>
          <w:sz w:val="24"/>
          <w:szCs w:val="24"/>
        </w:rPr>
        <w:t xml:space="preserve">Сроки </w:t>
      </w:r>
      <w:r w:rsidR="00810ED5" w:rsidRPr="00EC476F">
        <w:rPr>
          <w:b/>
          <w:sz w:val="24"/>
          <w:szCs w:val="24"/>
        </w:rPr>
        <w:t>поставки</w:t>
      </w:r>
      <w:r w:rsidR="009A663E" w:rsidRPr="00EC476F">
        <w:rPr>
          <w:b/>
          <w:sz w:val="24"/>
          <w:szCs w:val="24"/>
        </w:rPr>
        <w:t xml:space="preserve"> товара</w:t>
      </w:r>
      <w:r w:rsidR="00CF38C0" w:rsidRPr="00EC476F">
        <w:rPr>
          <w:b/>
          <w:sz w:val="24"/>
          <w:szCs w:val="24"/>
        </w:rPr>
        <w:t xml:space="preserve">: </w:t>
      </w:r>
      <w:r w:rsidR="00B64457" w:rsidRPr="00EC476F">
        <w:rPr>
          <w:sz w:val="24"/>
          <w:szCs w:val="24"/>
        </w:rPr>
        <w:t xml:space="preserve">с момента заключения договора по </w:t>
      </w:r>
      <w:r w:rsidR="00031F89" w:rsidRPr="00EC476F">
        <w:rPr>
          <w:sz w:val="24"/>
          <w:szCs w:val="24"/>
        </w:rPr>
        <w:t>30</w:t>
      </w:r>
      <w:r w:rsidR="00B64457" w:rsidRPr="00EC476F">
        <w:rPr>
          <w:sz w:val="24"/>
          <w:szCs w:val="24"/>
        </w:rPr>
        <w:t xml:space="preserve"> </w:t>
      </w:r>
      <w:r w:rsidR="00EC476F" w:rsidRPr="00EC476F">
        <w:rPr>
          <w:sz w:val="24"/>
          <w:szCs w:val="24"/>
        </w:rPr>
        <w:t xml:space="preserve">июня </w:t>
      </w:r>
      <w:r w:rsidR="003D2205" w:rsidRPr="00EC476F">
        <w:rPr>
          <w:sz w:val="24"/>
          <w:szCs w:val="24"/>
        </w:rPr>
        <w:t>2021</w:t>
      </w:r>
      <w:r w:rsidR="00B64457" w:rsidRPr="00EC476F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CF38C0" w:rsidRPr="00CF38C0">
        <w:t xml:space="preserve"> </w:t>
      </w:r>
      <w:r w:rsidR="00EC476F">
        <w:rPr>
          <w:b w:val="0"/>
        </w:rPr>
        <w:t>5 325 749,</w:t>
      </w:r>
      <w:r w:rsidR="008F17E8" w:rsidRPr="008F17E8">
        <w:rPr>
          <w:b w:val="0"/>
        </w:rPr>
        <w:t xml:space="preserve">21 руб. (Пять </w:t>
      </w:r>
      <w:r w:rsidR="008F17E8" w:rsidRPr="008F17E8">
        <w:rPr>
          <w:b w:val="0"/>
        </w:rPr>
        <w:lastRenderedPageBreak/>
        <w:t>миллионов триста двадцать пять тысяч семьсот сорок девять рублей 21 копейка)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 xml:space="preserve">, а </w:t>
      </w:r>
      <w:r w:rsidR="009D4AE4" w:rsidRPr="000764A5">
        <w:rPr>
          <w:sz w:val="24"/>
          <w:szCs w:val="24"/>
        </w:rPr>
        <w:lastRenderedPageBreak/>
        <w:t>также на сайте электронной площадки</w:t>
      </w:r>
      <w:r w:rsidR="00EC476F">
        <w:rPr>
          <w:sz w:val="24"/>
          <w:szCs w:val="24"/>
        </w:rPr>
        <w:t xml:space="preserve"> </w:t>
      </w:r>
      <w:r w:rsidR="00EC476F" w:rsidRPr="000F1F34">
        <w:rPr>
          <w:sz w:val="24"/>
          <w:szCs w:val="24"/>
        </w:rPr>
        <w:t>(АО «</w:t>
      </w:r>
      <w:r w:rsidR="00EC476F" w:rsidRPr="000F1F34">
        <w:rPr>
          <w:sz w:val="24"/>
          <w:szCs w:val="24"/>
          <w:lang w:val="en-US"/>
        </w:rPr>
        <w:t>OTC</w:t>
      </w:r>
      <w:r w:rsidR="00EC476F" w:rsidRPr="000F1F34">
        <w:rPr>
          <w:sz w:val="24"/>
          <w:szCs w:val="24"/>
        </w:rPr>
        <w:t xml:space="preserve">») </w:t>
      </w:r>
      <w:hyperlink r:id="rId13" w:history="1">
        <w:r w:rsidR="00EC476F" w:rsidRPr="000F1F34">
          <w:rPr>
            <w:rStyle w:val="a9"/>
            <w:color w:val="auto"/>
            <w:sz w:val="24"/>
            <w:szCs w:val="24"/>
            <w:lang w:val="en-US"/>
          </w:rPr>
          <w:t>http</w:t>
        </w:r>
        <w:r w:rsidR="00EC476F" w:rsidRPr="000F1F34">
          <w:rPr>
            <w:rStyle w:val="a9"/>
            <w:color w:val="auto"/>
            <w:sz w:val="24"/>
            <w:szCs w:val="24"/>
          </w:rPr>
          <w:t>://</w:t>
        </w:r>
        <w:r w:rsidR="00EC476F" w:rsidRPr="000F1F34">
          <w:rPr>
            <w:rStyle w:val="a9"/>
            <w:color w:val="auto"/>
            <w:sz w:val="24"/>
            <w:szCs w:val="24"/>
            <w:lang w:val="en-US"/>
          </w:rPr>
          <w:t>tender</w:t>
        </w:r>
        <w:r w:rsidR="00EC476F" w:rsidRPr="000F1F34">
          <w:rPr>
            <w:rStyle w:val="a9"/>
            <w:color w:val="auto"/>
            <w:sz w:val="24"/>
            <w:szCs w:val="24"/>
          </w:rPr>
          <w:t>.</w:t>
        </w:r>
        <w:r w:rsidR="00EC476F" w:rsidRPr="000F1F34">
          <w:rPr>
            <w:rStyle w:val="a9"/>
            <w:color w:val="auto"/>
            <w:sz w:val="24"/>
            <w:szCs w:val="24"/>
            <w:lang w:val="en-US"/>
          </w:rPr>
          <w:t>otc</w:t>
        </w:r>
        <w:r w:rsidR="00EC476F" w:rsidRPr="000F1F34">
          <w:rPr>
            <w:rStyle w:val="a9"/>
            <w:color w:val="auto"/>
            <w:sz w:val="24"/>
            <w:szCs w:val="24"/>
          </w:rPr>
          <w:t>.</w:t>
        </w:r>
        <w:r w:rsidR="00EC476F" w:rsidRPr="000F1F34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FB0839" w:rsidRPr="000764A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E409C8">
        <w:rPr>
          <w:sz w:val="24"/>
          <w:szCs w:val="24"/>
        </w:rPr>
        <w:t>19</w:t>
      </w:r>
      <w:r w:rsidR="00AB2F3D" w:rsidRPr="006F7DD7">
        <w:rPr>
          <w:sz w:val="24"/>
          <w:szCs w:val="24"/>
        </w:rPr>
        <w:t xml:space="preserve">» </w:t>
      </w:r>
      <w:r w:rsidR="008F17E8">
        <w:rPr>
          <w:sz w:val="24"/>
          <w:szCs w:val="24"/>
        </w:rPr>
        <w:t>мая</w:t>
      </w:r>
      <w:r w:rsidR="00473AF5">
        <w:rPr>
          <w:sz w:val="24"/>
          <w:szCs w:val="24"/>
        </w:rPr>
        <w:t xml:space="preserve">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4944AE">
        <w:rPr>
          <w:rFonts w:ascii="Times New Roman" w:hAnsi="Times New Roman"/>
        </w:rPr>
        <w:t>27</w:t>
      </w:r>
      <w:r w:rsidR="00473AF5">
        <w:rPr>
          <w:rFonts w:ascii="Times New Roman" w:hAnsi="Times New Roman"/>
        </w:rPr>
        <w:t xml:space="preserve">» </w:t>
      </w:r>
      <w:r w:rsidR="008F17E8">
        <w:rPr>
          <w:rFonts w:ascii="Times New Roman" w:hAnsi="Times New Roman"/>
        </w:rPr>
        <w:t>мая</w:t>
      </w:r>
      <w:r w:rsidR="00957D1B">
        <w:rPr>
          <w:rFonts w:ascii="Times New Roman" w:hAnsi="Times New Roman"/>
        </w:rPr>
        <w:t xml:space="preserve">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 xml:space="preserve">в соответствии с законодательством </w:t>
      </w:r>
      <w:r w:rsidRPr="00080EB2">
        <w:rPr>
          <w:sz w:val="24"/>
          <w:szCs w:val="24"/>
        </w:rPr>
        <w:lastRenderedPageBreak/>
        <w:t>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 xml:space="preserve">стре недобросовестных </w:t>
      </w:r>
      <w:r w:rsidRPr="00080EB2">
        <w:rPr>
          <w:rStyle w:val="95pt"/>
          <w:sz w:val="24"/>
          <w:szCs w:val="24"/>
        </w:rPr>
        <w:lastRenderedPageBreak/>
        <w:t>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</w:t>
      </w:r>
      <w:r w:rsidRPr="000D6139">
        <w:rPr>
          <w:sz w:val="24"/>
          <w:szCs w:val="24"/>
        </w:rPr>
        <w:lastRenderedPageBreak/>
        <w:t xml:space="preserve">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</w:t>
      </w:r>
      <w:r w:rsidRPr="000D6139">
        <w:rPr>
          <w:sz w:val="24"/>
          <w:szCs w:val="24"/>
        </w:rPr>
        <w:lastRenderedPageBreak/>
        <w:t>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lastRenderedPageBreak/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570222">
        <w:rPr>
          <w:rStyle w:val="FontStyle16"/>
          <w:sz w:val="24"/>
          <w:szCs w:val="24"/>
        </w:rPr>
        <w:t>22</w:t>
      </w:r>
      <w:bookmarkStart w:id="1" w:name="_GoBack"/>
      <w:bookmarkEnd w:id="1"/>
      <w:r w:rsidR="00EC5DC0">
        <w:rPr>
          <w:rStyle w:val="FontStyle16"/>
          <w:sz w:val="24"/>
          <w:szCs w:val="24"/>
        </w:rPr>
        <w:t>.</w:t>
      </w:r>
      <w:r w:rsidR="00EC476F">
        <w:rPr>
          <w:rStyle w:val="FontStyle16"/>
          <w:sz w:val="24"/>
          <w:szCs w:val="24"/>
        </w:rPr>
        <w:t>05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570222">
        <w:rPr>
          <w:sz w:val="24"/>
          <w:szCs w:val="24"/>
        </w:rPr>
        <w:t>27</w:t>
      </w:r>
      <w:r w:rsidR="00965CE2" w:rsidRPr="00C938EC">
        <w:rPr>
          <w:sz w:val="24"/>
          <w:szCs w:val="24"/>
        </w:rPr>
        <w:t xml:space="preserve">» </w:t>
      </w:r>
      <w:r w:rsidR="008F17E8">
        <w:rPr>
          <w:sz w:val="24"/>
          <w:szCs w:val="24"/>
        </w:rPr>
        <w:t>мая</w:t>
      </w:r>
      <w:r w:rsidR="004C796E">
        <w:rPr>
          <w:sz w:val="24"/>
          <w:szCs w:val="24"/>
        </w:rPr>
        <w:t xml:space="preserve">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570222">
        <w:rPr>
          <w:sz w:val="24"/>
          <w:szCs w:val="24"/>
        </w:rPr>
        <w:t>27</w:t>
      </w:r>
      <w:r w:rsidR="00965CE2" w:rsidRPr="00C938EC">
        <w:rPr>
          <w:sz w:val="24"/>
          <w:szCs w:val="24"/>
        </w:rPr>
        <w:t xml:space="preserve">» </w:t>
      </w:r>
      <w:r w:rsidR="008F17E8">
        <w:rPr>
          <w:sz w:val="24"/>
          <w:szCs w:val="24"/>
        </w:rPr>
        <w:t>мая</w:t>
      </w:r>
      <w:r w:rsidR="004C796E">
        <w:rPr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276361" w:rsidRDefault="00276361" w:rsidP="00046462">
      <w:pPr>
        <w:jc w:val="both"/>
        <w:rPr>
          <w:color w:val="FF0000"/>
          <w:sz w:val="24"/>
          <w:szCs w:val="24"/>
        </w:rPr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 xml:space="preserve">док оценки котировочных заявок, порядок подведения итогов запроса котировок в </w:t>
      </w:r>
      <w:r w:rsidR="008C4E3E" w:rsidRPr="00CF27CD">
        <w:lastRenderedPageBreak/>
        <w:t>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C55B89" w:rsidRPr="002447F3">
        <w:rPr>
          <w:bCs/>
          <w:sz w:val="24"/>
          <w:szCs w:val="24"/>
        </w:rPr>
        <w:lastRenderedPageBreak/>
        <w:t>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зий и разрешений, своему финансовому состоянию либо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</w:t>
      </w:r>
      <w:r w:rsidR="0013703D" w:rsidRPr="00357349">
        <w:rPr>
          <w:bCs/>
        </w:rPr>
        <w:lastRenderedPageBreak/>
        <w:t>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13703D" w:rsidRPr="00EE787B" w:rsidRDefault="0013703D" w:rsidP="008F43DF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F352D9" w:rsidRDefault="00F352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167D9" w:rsidRDefault="00B167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E42433" w:rsidRDefault="00E4243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DA60CE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 w:rsidR="008F17E8" w:rsidRPr="00EC176E">
        <w:rPr>
          <w:sz w:val="24"/>
          <w:szCs w:val="24"/>
        </w:rPr>
        <w:t>железобетонных изделий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84470" w:rsidRPr="000C524C" w:rsidRDefault="00584470" w:rsidP="00584470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61"/>
        <w:gridCol w:w="4085"/>
        <w:gridCol w:w="711"/>
        <w:gridCol w:w="794"/>
        <w:gridCol w:w="1289"/>
        <w:gridCol w:w="1282"/>
      </w:tblGrid>
      <w:tr w:rsidR="008F17E8" w:rsidRPr="00D71A55" w:rsidTr="00D71A55">
        <w:trPr>
          <w:trHeight w:val="945"/>
        </w:trPr>
        <w:tc>
          <w:tcPr>
            <w:tcW w:w="272" w:type="pct"/>
            <w:shd w:val="clear" w:color="auto" w:fill="auto"/>
            <w:vAlign w:val="center"/>
            <w:hideMark/>
          </w:tcPr>
          <w:p w:rsidR="008F17E8" w:rsidRPr="00D71A55" w:rsidRDefault="008F17E8" w:rsidP="00136B60">
            <w:pPr>
              <w:autoSpaceDE/>
              <w:autoSpaceDN/>
              <w:adjustRightInd/>
              <w:jc w:val="center"/>
              <w:rPr>
                <w:bCs/>
              </w:rPr>
            </w:pPr>
            <w:r w:rsidRPr="00D71A55">
              <w:rPr>
                <w:bCs/>
              </w:rPr>
              <w:t xml:space="preserve">№ </w:t>
            </w:r>
            <w:proofErr w:type="gramStart"/>
            <w:r w:rsidRPr="00D71A55">
              <w:rPr>
                <w:bCs/>
              </w:rPr>
              <w:t>п</w:t>
            </w:r>
            <w:proofErr w:type="gramEnd"/>
            <w:r w:rsidRPr="00D71A55">
              <w:rPr>
                <w:bCs/>
              </w:rPr>
              <w:t>/п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8F17E8" w:rsidRPr="00D71A55" w:rsidRDefault="008F17E8" w:rsidP="00136B60">
            <w:pPr>
              <w:autoSpaceDE/>
              <w:autoSpaceDN/>
              <w:adjustRightInd/>
              <w:jc w:val="center"/>
              <w:rPr>
                <w:bCs/>
              </w:rPr>
            </w:pPr>
            <w:r w:rsidRPr="00D71A55">
              <w:rPr>
                <w:bCs/>
              </w:rPr>
              <w:t>Наименование товара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8F17E8" w:rsidRPr="00D71A55" w:rsidRDefault="008F17E8" w:rsidP="00136B60">
            <w:pPr>
              <w:autoSpaceDE/>
              <w:autoSpaceDN/>
              <w:adjustRightInd/>
              <w:jc w:val="center"/>
              <w:rPr>
                <w:bCs/>
              </w:rPr>
            </w:pPr>
            <w:r w:rsidRPr="00D71A55">
              <w:rPr>
                <w:bCs/>
              </w:rPr>
              <w:t xml:space="preserve">Требования </w:t>
            </w:r>
            <w:proofErr w:type="gramStart"/>
            <w:r w:rsidRPr="00D71A55">
              <w:rPr>
                <w:bCs/>
              </w:rPr>
              <w:t>техническим</w:t>
            </w:r>
            <w:proofErr w:type="gramEnd"/>
            <w:r w:rsidRPr="00D71A55">
              <w:rPr>
                <w:bCs/>
              </w:rPr>
              <w:t>,</w:t>
            </w:r>
          </w:p>
          <w:p w:rsidR="008F17E8" w:rsidRPr="00D71A55" w:rsidRDefault="008F17E8" w:rsidP="00136B60">
            <w:pPr>
              <w:autoSpaceDE/>
              <w:autoSpaceDN/>
              <w:adjustRightInd/>
              <w:jc w:val="center"/>
              <w:rPr>
                <w:bCs/>
              </w:rPr>
            </w:pPr>
            <w:r w:rsidRPr="00D71A55">
              <w:rPr>
                <w:bCs/>
              </w:rPr>
              <w:t xml:space="preserve">функциональным характеристикам </w:t>
            </w:r>
            <w:r w:rsidRPr="00D71A55">
              <w:t>(потребительским свойствам) товара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17E8" w:rsidRPr="00D71A55" w:rsidRDefault="008F17E8" w:rsidP="00136B60">
            <w:pPr>
              <w:autoSpaceDE/>
              <w:autoSpaceDN/>
              <w:adjustRightInd/>
              <w:jc w:val="center"/>
              <w:rPr>
                <w:bCs/>
              </w:rPr>
            </w:pPr>
            <w:r w:rsidRPr="00D71A55">
              <w:rPr>
                <w:bCs/>
              </w:rPr>
              <w:t>Ед. изм.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F17E8" w:rsidRPr="00D71A55" w:rsidRDefault="008F17E8" w:rsidP="00136B60">
            <w:pPr>
              <w:autoSpaceDE/>
              <w:autoSpaceDN/>
              <w:adjustRightInd/>
              <w:jc w:val="center"/>
              <w:rPr>
                <w:bCs/>
              </w:rPr>
            </w:pPr>
            <w:r w:rsidRPr="00D71A55">
              <w:rPr>
                <w:bCs/>
              </w:rPr>
              <w:t>Кол-во</w:t>
            </w:r>
            <w:r w:rsidRPr="00D71A55">
              <w:rPr>
                <w:bCs/>
                <w:vertAlign w:val="superscript"/>
              </w:rPr>
              <w:t>*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F17E8" w:rsidRPr="00D71A55" w:rsidRDefault="008F17E8" w:rsidP="00136B60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71A55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8F17E8" w:rsidRPr="00D71A55" w:rsidRDefault="008F17E8" w:rsidP="00136B60">
            <w:pPr>
              <w:autoSpaceDE/>
              <w:autoSpaceDN/>
              <w:adjustRightInd/>
              <w:jc w:val="center"/>
              <w:rPr>
                <w:bCs/>
              </w:rPr>
            </w:pPr>
            <w:r w:rsidRPr="00D71A55">
              <w:t>(с учетом НДС 20%)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F17E8" w:rsidRPr="00D71A55" w:rsidRDefault="008F17E8" w:rsidP="00136B60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71A55">
              <w:rPr>
                <w:rFonts w:ascii="Times New Roman" w:hAnsi="Times New Roman" w:cs="Times New Roman"/>
              </w:rPr>
              <w:t>Сумма итого, руб.</w:t>
            </w:r>
          </w:p>
          <w:p w:rsidR="008F17E8" w:rsidRPr="00D71A55" w:rsidRDefault="008F17E8" w:rsidP="00136B60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71A55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8F17E8" w:rsidRPr="00D71A55" w:rsidTr="00D71A55">
        <w:trPr>
          <w:trHeight w:val="945"/>
        </w:trPr>
        <w:tc>
          <w:tcPr>
            <w:tcW w:w="272" w:type="pct"/>
            <w:shd w:val="clear" w:color="auto" w:fill="auto"/>
            <w:vAlign w:val="center"/>
          </w:tcPr>
          <w:p w:rsidR="008F17E8" w:rsidRPr="00D71A55" w:rsidRDefault="00AF3A54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1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F17E8" w:rsidRPr="00D71A55" w:rsidRDefault="008F17E8" w:rsidP="00136B60">
            <w:pPr>
              <w:autoSpaceDE/>
              <w:autoSpaceDN/>
              <w:adjustRightInd/>
              <w:rPr>
                <w:color w:val="000000"/>
              </w:rPr>
            </w:pPr>
            <w:r w:rsidRPr="00D71A55">
              <w:rPr>
                <w:color w:val="000000"/>
              </w:rPr>
              <w:t>Железобетонная стойка СВ-164-12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8F17E8" w:rsidRPr="00D71A55" w:rsidRDefault="008F17E8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Стойка железобетонная вибрированная,</w:t>
            </w:r>
          </w:p>
          <w:p w:rsidR="00135455" w:rsidRPr="00D71A55" w:rsidRDefault="008F17E8" w:rsidP="00136B60">
            <w:pPr>
              <w:autoSpaceDE/>
              <w:autoSpaceDN/>
              <w:adjustRightInd/>
              <w:jc w:val="center"/>
            </w:pPr>
            <w:r w:rsidRPr="00D71A55">
              <w:rPr>
                <w:color w:val="000000"/>
              </w:rPr>
              <w:t xml:space="preserve">для опор </w:t>
            </w:r>
            <w:proofErr w:type="gramStart"/>
            <w:r w:rsidRPr="00D71A55">
              <w:rPr>
                <w:color w:val="000000"/>
              </w:rPr>
              <w:t>ВЛ</w:t>
            </w:r>
            <w:proofErr w:type="gramEnd"/>
            <w:r w:rsidRPr="00D71A55">
              <w:rPr>
                <w:color w:val="000000"/>
              </w:rPr>
              <w:t xml:space="preserve"> 0,4-10кВ. Размер 16400х390х380мм. Масса 3,55</w:t>
            </w:r>
            <w:r w:rsidR="00135455" w:rsidRPr="00D71A55">
              <w:rPr>
                <w:color w:val="000000"/>
              </w:rPr>
              <w:t xml:space="preserve"> </w:t>
            </w:r>
            <w:r w:rsidR="00D71A55">
              <w:rPr>
                <w:color w:val="000000"/>
              </w:rPr>
              <w:t>т</w:t>
            </w:r>
            <w:r w:rsidRPr="00D71A55">
              <w:rPr>
                <w:color w:val="000000"/>
              </w:rPr>
              <w:t xml:space="preserve">. </w:t>
            </w:r>
            <w:proofErr w:type="spellStart"/>
            <w:r w:rsidRPr="00D71A55">
              <w:rPr>
                <w:color w:val="000000"/>
              </w:rPr>
              <w:t>Мизг</w:t>
            </w:r>
            <w:proofErr w:type="spellEnd"/>
            <w:r w:rsidRPr="00D71A55">
              <w:rPr>
                <w:color w:val="000000"/>
              </w:rPr>
              <w:t>=3,5тс*м. Класс бетона В25. Морозостойкость F200.</w:t>
            </w:r>
            <w:r w:rsidR="00135455" w:rsidRPr="00D71A55">
              <w:t xml:space="preserve"> </w:t>
            </w:r>
          </w:p>
          <w:p w:rsidR="008F17E8" w:rsidRPr="00D71A55" w:rsidRDefault="00135455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ТУ 5863-007-00113557-94.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F17E8" w:rsidRPr="00D71A55" w:rsidRDefault="008F17E8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шт.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F17E8" w:rsidRPr="00D71A55" w:rsidRDefault="008F17E8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15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F17E8" w:rsidRPr="00D71A55" w:rsidRDefault="000F78BD" w:rsidP="000F78BD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71</w:t>
            </w:r>
            <w:r w:rsidR="008F17E8" w:rsidRPr="00D71A55">
              <w:rPr>
                <w:color w:val="000000"/>
              </w:rPr>
              <w:t xml:space="preserve"> </w:t>
            </w:r>
            <w:r w:rsidRPr="00D71A55">
              <w:rPr>
                <w:color w:val="000000"/>
              </w:rPr>
              <w:t>466</w:t>
            </w:r>
            <w:r w:rsidR="008F17E8" w:rsidRPr="00D71A55">
              <w:rPr>
                <w:color w:val="000000"/>
              </w:rPr>
              <w:t>,</w:t>
            </w:r>
            <w:r w:rsidRPr="00D71A55">
              <w:rPr>
                <w:color w:val="000000"/>
              </w:rPr>
              <w:t>67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F17E8" w:rsidRPr="00D71A55" w:rsidRDefault="008F17E8" w:rsidP="00EC476F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 xml:space="preserve">1 </w:t>
            </w:r>
            <w:r w:rsidR="00EC476F" w:rsidRPr="00D71A55">
              <w:rPr>
                <w:color w:val="000000"/>
              </w:rPr>
              <w:t>072</w:t>
            </w:r>
            <w:r w:rsidRPr="00D71A55">
              <w:rPr>
                <w:color w:val="000000"/>
              </w:rPr>
              <w:t xml:space="preserve"> </w:t>
            </w:r>
            <w:r w:rsidR="00EC476F" w:rsidRPr="00D71A55">
              <w:rPr>
                <w:color w:val="000000"/>
              </w:rPr>
              <w:t>000</w:t>
            </w:r>
            <w:r w:rsidRPr="00D71A55">
              <w:rPr>
                <w:color w:val="000000"/>
              </w:rPr>
              <w:t>,05</w:t>
            </w:r>
          </w:p>
        </w:tc>
      </w:tr>
      <w:tr w:rsidR="008F17E8" w:rsidRPr="00D71A55" w:rsidTr="00D71A55">
        <w:trPr>
          <w:trHeight w:val="960"/>
        </w:trPr>
        <w:tc>
          <w:tcPr>
            <w:tcW w:w="272" w:type="pct"/>
            <w:shd w:val="clear" w:color="auto" w:fill="auto"/>
            <w:vAlign w:val="center"/>
            <w:hideMark/>
          </w:tcPr>
          <w:p w:rsidR="008F17E8" w:rsidRPr="00D71A55" w:rsidRDefault="00AF3A54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8F17E8" w:rsidRPr="00D71A55" w:rsidRDefault="008F17E8" w:rsidP="00136B60">
            <w:pPr>
              <w:autoSpaceDE/>
              <w:autoSpaceDN/>
              <w:adjustRightInd/>
              <w:rPr>
                <w:color w:val="000000"/>
              </w:rPr>
            </w:pPr>
            <w:r w:rsidRPr="00D71A55">
              <w:rPr>
                <w:color w:val="000000"/>
              </w:rPr>
              <w:t>Железобетонная стойка СВ-110-3,5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8F17E8" w:rsidRPr="00D71A55" w:rsidRDefault="008F17E8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Стойка железобетонная вибрированная,</w:t>
            </w:r>
          </w:p>
          <w:p w:rsidR="00135455" w:rsidRPr="00D71A55" w:rsidRDefault="008F17E8" w:rsidP="00136B60">
            <w:pPr>
              <w:autoSpaceDE/>
              <w:autoSpaceDN/>
              <w:adjustRightInd/>
              <w:jc w:val="center"/>
            </w:pPr>
            <w:r w:rsidRPr="00D71A55">
              <w:rPr>
                <w:color w:val="000000"/>
              </w:rPr>
              <w:t xml:space="preserve">для опор </w:t>
            </w:r>
            <w:proofErr w:type="gramStart"/>
            <w:r w:rsidRPr="00D71A55">
              <w:rPr>
                <w:color w:val="000000"/>
              </w:rPr>
              <w:t>ВЛ</w:t>
            </w:r>
            <w:proofErr w:type="gramEnd"/>
            <w:r w:rsidRPr="00D71A55">
              <w:rPr>
                <w:color w:val="000000"/>
              </w:rPr>
              <w:t xml:space="preserve"> 0,4-10кВ. Размер 11000х185х280/165мм. Масса 1,13 т. </w:t>
            </w:r>
            <w:proofErr w:type="spellStart"/>
            <w:r w:rsidRPr="00D71A55">
              <w:rPr>
                <w:color w:val="000000"/>
              </w:rPr>
              <w:t>Мизг</w:t>
            </w:r>
            <w:proofErr w:type="spellEnd"/>
            <w:r w:rsidRPr="00D71A55">
              <w:rPr>
                <w:color w:val="000000"/>
              </w:rPr>
              <w:t>=3,5тс*м. Класс бетона В30. Морозостойкость F200.</w:t>
            </w:r>
            <w:r w:rsidR="00135455" w:rsidRPr="00D71A55">
              <w:t xml:space="preserve"> </w:t>
            </w:r>
          </w:p>
          <w:p w:rsidR="008F17E8" w:rsidRPr="00D71A55" w:rsidRDefault="00135455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ТУ 5863-007-00113557-94.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17E8" w:rsidRPr="00D71A55" w:rsidRDefault="008F17E8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шт.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F17E8" w:rsidRPr="00D71A55" w:rsidRDefault="008F17E8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150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F17E8" w:rsidRPr="00D71A55" w:rsidRDefault="008F17E8" w:rsidP="000F78BD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 xml:space="preserve">10 </w:t>
            </w:r>
            <w:r w:rsidR="000F78BD" w:rsidRPr="00D71A55">
              <w:rPr>
                <w:color w:val="000000"/>
              </w:rPr>
              <w:t>733</w:t>
            </w:r>
            <w:r w:rsidRPr="00D71A55">
              <w:rPr>
                <w:color w:val="000000"/>
              </w:rPr>
              <w:t>,</w:t>
            </w:r>
            <w:r w:rsidR="000F78BD" w:rsidRPr="00D71A55">
              <w:rPr>
                <w:color w:val="000000"/>
              </w:rPr>
              <w:t>33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F17E8" w:rsidRPr="00D71A55" w:rsidRDefault="008F17E8" w:rsidP="00EC476F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 xml:space="preserve">1 </w:t>
            </w:r>
            <w:r w:rsidR="00EC476F" w:rsidRPr="00D71A55">
              <w:rPr>
                <w:color w:val="000000"/>
              </w:rPr>
              <w:t>609</w:t>
            </w:r>
            <w:r w:rsidRPr="00D71A55">
              <w:rPr>
                <w:color w:val="000000"/>
              </w:rPr>
              <w:t xml:space="preserve"> </w:t>
            </w:r>
            <w:r w:rsidR="00EC476F" w:rsidRPr="00D71A55">
              <w:rPr>
                <w:color w:val="000000"/>
              </w:rPr>
              <w:t>999</w:t>
            </w:r>
            <w:r w:rsidRPr="00D71A55">
              <w:rPr>
                <w:color w:val="000000"/>
              </w:rPr>
              <w:t>,50</w:t>
            </w:r>
          </w:p>
        </w:tc>
      </w:tr>
      <w:tr w:rsidR="008F17E8" w:rsidRPr="00D71A55" w:rsidTr="00D71A55">
        <w:trPr>
          <w:trHeight w:val="1005"/>
        </w:trPr>
        <w:tc>
          <w:tcPr>
            <w:tcW w:w="272" w:type="pct"/>
            <w:shd w:val="clear" w:color="auto" w:fill="auto"/>
            <w:vAlign w:val="center"/>
            <w:hideMark/>
          </w:tcPr>
          <w:p w:rsidR="008F17E8" w:rsidRPr="00D71A55" w:rsidRDefault="00AF3A54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3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8F17E8" w:rsidRPr="00D71A55" w:rsidRDefault="008F17E8" w:rsidP="00136B60">
            <w:pPr>
              <w:autoSpaceDE/>
              <w:autoSpaceDN/>
              <w:adjustRightInd/>
              <w:rPr>
                <w:color w:val="000000"/>
              </w:rPr>
            </w:pPr>
            <w:r w:rsidRPr="00D71A55">
              <w:rPr>
                <w:color w:val="000000"/>
              </w:rPr>
              <w:t>Железобетонная стойка СВ-105-3,5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8F17E8" w:rsidRPr="00D71A55" w:rsidRDefault="008F17E8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Стойка железобетонная вибрированная,</w:t>
            </w:r>
          </w:p>
          <w:p w:rsidR="00135455" w:rsidRPr="00D71A55" w:rsidRDefault="008F17E8" w:rsidP="00136B60">
            <w:pPr>
              <w:autoSpaceDE/>
              <w:autoSpaceDN/>
              <w:adjustRightInd/>
              <w:jc w:val="center"/>
            </w:pPr>
            <w:r w:rsidRPr="00D71A55">
              <w:rPr>
                <w:color w:val="000000"/>
              </w:rPr>
              <w:t xml:space="preserve">для опор </w:t>
            </w:r>
            <w:proofErr w:type="gramStart"/>
            <w:r w:rsidRPr="00D71A55">
              <w:rPr>
                <w:color w:val="000000"/>
              </w:rPr>
              <w:t>ВЛ</w:t>
            </w:r>
            <w:proofErr w:type="gramEnd"/>
            <w:r w:rsidRPr="00D71A55">
              <w:rPr>
                <w:color w:val="000000"/>
              </w:rPr>
              <w:t xml:space="preserve"> 0,4-10кВ. Размер 10500х200х280/190мм. Масса 1,18</w:t>
            </w:r>
            <w:r w:rsidR="00135455" w:rsidRPr="00D71A55">
              <w:rPr>
                <w:color w:val="000000"/>
              </w:rPr>
              <w:t xml:space="preserve"> </w:t>
            </w:r>
            <w:r w:rsidR="00D71A55">
              <w:rPr>
                <w:color w:val="000000"/>
              </w:rPr>
              <w:t>т</w:t>
            </w:r>
            <w:r w:rsidRPr="00D71A55">
              <w:rPr>
                <w:color w:val="000000"/>
              </w:rPr>
              <w:t xml:space="preserve">. </w:t>
            </w:r>
            <w:proofErr w:type="spellStart"/>
            <w:r w:rsidRPr="00D71A55">
              <w:rPr>
                <w:color w:val="000000"/>
              </w:rPr>
              <w:t>Мизг</w:t>
            </w:r>
            <w:proofErr w:type="spellEnd"/>
            <w:r w:rsidRPr="00D71A55">
              <w:rPr>
                <w:color w:val="000000"/>
              </w:rPr>
              <w:t>=3,5тс*м. Класс бетона В30. Морозостойкость F200.</w:t>
            </w:r>
            <w:r w:rsidR="00135455" w:rsidRPr="00D71A55">
              <w:t xml:space="preserve"> </w:t>
            </w:r>
          </w:p>
          <w:p w:rsidR="008F17E8" w:rsidRPr="00D71A55" w:rsidRDefault="00135455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ТУ 5863-007-00113557-94.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17E8" w:rsidRPr="00D71A55" w:rsidRDefault="008F17E8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шт.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F17E8" w:rsidRPr="00D71A55" w:rsidRDefault="008F17E8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75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F17E8" w:rsidRPr="00D71A55" w:rsidRDefault="000F78BD" w:rsidP="000F78BD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6</w:t>
            </w:r>
            <w:r w:rsidR="008F17E8" w:rsidRPr="00D71A55">
              <w:rPr>
                <w:color w:val="000000"/>
              </w:rPr>
              <w:t xml:space="preserve"> </w:t>
            </w:r>
            <w:r w:rsidRPr="00D71A55">
              <w:rPr>
                <w:color w:val="000000"/>
              </w:rPr>
              <w:t>850</w:t>
            </w:r>
            <w:r w:rsidR="008F17E8" w:rsidRPr="00D71A55">
              <w:rPr>
                <w:color w:val="000000"/>
              </w:rPr>
              <w:t>,</w:t>
            </w:r>
            <w:r w:rsidRPr="00D71A55">
              <w:rPr>
                <w:color w:val="000000"/>
              </w:rPr>
              <w:t>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F17E8" w:rsidRPr="00D71A55" w:rsidRDefault="00EC476F" w:rsidP="00EC476F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>513</w:t>
            </w:r>
            <w:r w:rsidR="008F17E8" w:rsidRPr="00D71A55">
              <w:rPr>
                <w:color w:val="000000"/>
              </w:rPr>
              <w:t xml:space="preserve"> </w:t>
            </w:r>
            <w:r w:rsidRPr="00D71A55">
              <w:rPr>
                <w:color w:val="000000"/>
              </w:rPr>
              <w:t>750</w:t>
            </w:r>
            <w:r w:rsidR="008F17E8" w:rsidRPr="00D71A55">
              <w:rPr>
                <w:color w:val="000000"/>
              </w:rPr>
              <w:t>,</w:t>
            </w:r>
            <w:r w:rsidRPr="00D71A55">
              <w:rPr>
                <w:color w:val="000000"/>
              </w:rPr>
              <w:t>00</w:t>
            </w:r>
          </w:p>
        </w:tc>
      </w:tr>
      <w:tr w:rsidR="008F17E8" w:rsidRPr="00D71A55" w:rsidTr="00D71A55">
        <w:trPr>
          <w:trHeight w:val="1005"/>
        </w:trPr>
        <w:tc>
          <w:tcPr>
            <w:tcW w:w="272" w:type="pct"/>
            <w:shd w:val="clear" w:color="auto" w:fill="auto"/>
            <w:vAlign w:val="center"/>
            <w:hideMark/>
          </w:tcPr>
          <w:p w:rsidR="008F17E8" w:rsidRPr="00D71A55" w:rsidRDefault="008F17E8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4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8F17E8" w:rsidRPr="00D71A55" w:rsidRDefault="008F17E8" w:rsidP="00136B60">
            <w:pPr>
              <w:autoSpaceDE/>
              <w:autoSpaceDN/>
              <w:adjustRightInd/>
              <w:rPr>
                <w:color w:val="000000"/>
              </w:rPr>
            </w:pPr>
            <w:r w:rsidRPr="00D71A55">
              <w:rPr>
                <w:color w:val="000000"/>
              </w:rPr>
              <w:t>Железобетонная стойка СВ-95-3,5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8F17E8" w:rsidRPr="00D71A55" w:rsidRDefault="008F17E8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Стойка железобетонная вибрированная,</w:t>
            </w:r>
          </w:p>
          <w:p w:rsidR="00135455" w:rsidRPr="00D71A55" w:rsidRDefault="008F17E8" w:rsidP="00136B60">
            <w:pPr>
              <w:autoSpaceDE/>
              <w:autoSpaceDN/>
              <w:adjustRightInd/>
              <w:jc w:val="center"/>
            </w:pPr>
            <w:r w:rsidRPr="00D71A55">
              <w:rPr>
                <w:color w:val="000000"/>
              </w:rPr>
              <w:t xml:space="preserve">для опор </w:t>
            </w:r>
            <w:proofErr w:type="gramStart"/>
            <w:r w:rsidRPr="00D71A55">
              <w:rPr>
                <w:color w:val="000000"/>
              </w:rPr>
              <w:t>ВЛ</w:t>
            </w:r>
            <w:proofErr w:type="gramEnd"/>
            <w:r w:rsidRPr="00D71A55">
              <w:rPr>
                <w:color w:val="000000"/>
              </w:rPr>
              <w:t xml:space="preserve"> 0,4-10кВ. Размер 9500х165х240/165мм. Масса 0,75</w:t>
            </w:r>
            <w:r w:rsidR="00135455" w:rsidRPr="00D71A55">
              <w:rPr>
                <w:color w:val="000000"/>
              </w:rPr>
              <w:t xml:space="preserve"> </w:t>
            </w:r>
            <w:r w:rsidR="00D71A55">
              <w:rPr>
                <w:color w:val="000000"/>
              </w:rPr>
              <w:t>т</w:t>
            </w:r>
            <w:r w:rsidRPr="00D71A55">
              <w:rPr>
                <w:color w:val="000000"/>
              </w:rPr>
              <w:t xml:space="preserve">. </w:t>
            </w:r>
            <w:proofErr w:type="spellStart"/>
            <w:r w:rsidRPr="00D71A55">
              <w:rPr>
                <w:color w:val="000000"/>
              </w:rPr>
              <w:t>Мизг</w:t>
            </w:r>
            <w:proofErr w:type="spellEnd"/>
            <w:r w:rsidRPr="00D71A55">
              <w:rPr>
                <w:color w:val="000000"/>
              </w:rPr>
              <w:t>=3,5тс*м. Класс бетона В30. Морозостойкость F200.</w:t>
            </w:r>
            <w:r w:rsidR="00135455" w:rsidRPr="00D71A55">
              <w:t xml:space="preserve"> </w:t>
            </w:r>
          </w:p>
          <w:p w:rsidR="008F17E8" w:rsidRPr="00D71A55" w:rsidRDefault="00135455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ТУ 5863-007-00113557-94.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17E8" w:rsidRPr="00D71A55" w:rsidRDefault="008F17E8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шт.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F17E8" w:rsidRPr="00D71A55" w:rsidRDefault="008F17E8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F17E8" w:rsidRPr="00D71A55" w:rsidRDefault="00BA27A6" w:rsidP="00EC476F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9 8</w:t>
            </w:r>
            <w:r w:rsidR="008F17E8" w:rsidRPr="00D71A55">
              <w:rPr>
                <w:color w:val="000000"/>
              </w:rPr>
              <w:t>66,67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F17E8" w:rsidRPr="00D71A55" w:rsidRDefault="00EC476F" w:rsidP="00EC476F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>493</w:t>
            </w:r>
            <w:r w:rsidR="008F17E8" w:rsidRPr="00D71A55">
              <w:rPr>
                <w:color w:val="000000"/>
              </w:rPr>
              <w:t xml:space="preserve"> 333,50</w:t>
            </w:r>
          </w:p>
        </w:tc>
      </w:tr>
      <w:tr w:rsidR="00136B60" w:rsidRPr="00D71A55" w:rsidTr="00D71A55">
        <w:trPr>
          <w:trHeight w:val="1005"/>
        </w:trPr>
        <w:tc>
          <w:tcPr>
            <w:tcW w:w="272" w:type="pct"/>
            <w:shd w:val="clear" w:color="auto" w:fill="auto"/>
            <w:vAlign w:val="center"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36B60" w:rsidRPr="00D71A55" w:rsidRDefault="00136B60" w:rsidP="00136B60">
            <w:pPr>
              <w:rPr>
                <w:color w:val="000000"/>
                <w:sz w:val="24"/>
                <w:szCs w:val="24"/>
              </w:rPr>
            </w:pPr>
            <w:r w:rsidRPr="00D71A55">
              <w:rPr>
                <w:color w:val="000000"/>
              </w:rPr>
              <w:t>Железобетонная стойка коническая</w:t>
            </w:r>
            <w:r w:rsidRPr="00D71A55">
              <w:rPr>
                <w:color w:val="000000"/>
              </w:rPr>
              <w:br/>
              <w:t xml:space="preserve">СК 22.4-3.3   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D46D88" w:rsidRPr="00D71A55" w:rsidRDefault="00136B60" w:rsidP="00D46D88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Типовой проект 3.407.1-175</w:t>
            </w:r>
            <w:r w:rsidR="00D46D88" w:rsidRPr="00D71A55">
              <w:rPr>
                <w:color w:val="000000"/>
              </w:rPr>
              <w:t>.</w:t>
            </w:r>
          </w:p>
          <w:p w:rsidR="00D46D88" w:rsidRPr="00D71A55" w:rsidRDefault="00136B60" w:rsidP="00D46D88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Длина стойки – 22,6</w:t>
            </w:r>
            <w:r w:rsidR="00D46D88" w:rsidRPr="00D71A55">
              <w:rPr>
                <w:color w:val="000000"/>
              </w:rPr>
              <w:t xml:space="preserve"> </w:t>
            </w:r>
            <w:r w:rsidRPr="00D71A55">
              <w:rPr>
                <w:color w:val="000000"/>
              </w:rPr>
              <w:t>м</w:t>
            </w:r>
            <w:r w:rsidR="00D46D88" w:rsidRPr="00D71A55">
              <w:rPr>
                <w:color w:val="000000"/>
              </w:rPr>
              <w:t xml:space="preserve">. </w:t>
            </w:r>
          </w:p>
          <w:p w:rsidR="00D46D88" w:rsidRPr="00D71A55" w:rsidRDefault="00136B60" w:rsidP="00D46D88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Диаметр наружный</w:t>
            </w:r>
            <w:r w:rsidR="00D46D88" w:rsidRPr="00D71A55">
              <w:rPr>
                <w:color w:val="000000"/>
              </w:rPr>
              <w:t xml:space="preserve"> </w:t>
            </w:r>
            <w:r w:rsidRPr="00D71A55">
              <w:rPr>
                <w:color w:val="000000"/>
              </w:rPr>
              <w:t>– 650/440мм</w:t>
            </w:r>
            <w:r w:rsidR="00D46D88" w:rsidRPr="00D71A55">
              <w:rPr>
                <w:color w:val="000000"/>
              </w:rPr>
              <w:t xml:space="preserve">. </w:t>
            </w:r>
          </w:p>
          <w:p w:rsidR="00D46D88" w:rsidRPr="00D71A55" w:rsidRDefault="00136B60" w:rsidP="00D46D88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Диаметр внутренний – 540/340мм</w:t>
            </w:r>
            <w:r w:rsidR="00D46D88" w:rsidRPr="00D71A55">
              <w:rPr>
                <w:color w:val="000000"/>
              </w:rPr>
              <w:t xml:space="preserve">. </w:t>
            </w:r>
          </w:p>
          <w:p w:rsidR="00136B60" w:rsidRPr="00D71A55" w:rsidRDefault="00136B60" w:rsidP="00D46D88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Предельный момент:</w:t>
            </w:r>
            <w:r w:rsidRPr="00D71A55">
              <w:rPr>
                <w:color w:val="000000"/>
              </w:rPr>
              <w:br/>
              <w:t>- по прочности – 42,28тс*</w:t>
            </w:r>
            <w:proofErr w:type="gramStart"/>
            <w:r w:rsidRPr="00D71A55">
              <w:rPr>
                <w:color w:val="000000"/>
              </w:rPr>
              <w:t>м</w:t>
            </w:r>
            <w:proofErr w:type="gramEnd"/>
            <w:r w:rsidRPr="00D71A55">
              <w:rPr>
                <w:color w:val="000000"/>
              </w:rPr>
              <w:t>;</w:t>
            </w:r>
            <w:r w:rsidRPr="00D71A55">
              <w:rPr>
                <w:color w:val="000000"/>
              </w:rPr>
              <w:br/>
              <w:t xml:space="preserve">- по </w:t>
            </w:r>
            <w:proofErr w:type="spellStart"/>
            <w:r w:rsidRPr="00D71A55">
              <w:rPr>
                <w:color w:val="000000"/>
              </w:rPr>
              <w:t>трещиностойкости</w:t>
            </w:r>
            <w:proofErr w:type="spellEnd"/>
            <w:r w:rsidRPr="00D71A55">
              <w:rPr>
                <w:color w:val="000000"/>
              </w:rPr>
              <w:t xml:space="preserve"> – 17,55тс*м</w:t>
            </w:r>
            <w:r w:rsidR="00D46D88" w:rsidRPr="00D71A55">
              <w:rPr>
                <w:color w:val="000000"/>
              </w:rPr>
              <w:t>.</w:t>
            </w:r>
          </w:p>
          <w:p w:rsidR="00135455" w:rsidRPr="00D71A55" w:rsidRDefault="00135455" w:rsidP="00D46D88">
            <w:pPr>
              <w:jc w:val="center"/>
              <w:rPr>
                <w:color w:val="000000"/>
                <w:sz w:val="24"/>
                <w:szCs w:val="24"/>
              </w:rPr>
            </w:pPr>
            <w:r w:rsidRPr="00D71A55">
              <w:rPr>
                <w:color w:val="000000"/>
              </w:rPr>
              <w:t>ГОСТ 22687.1-85.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36B60" w:rsidRPr="00D71A55" w:rsidRDefault="00136B60" w:rsidP="00D92243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шт.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36B60" w:rsidRPr="00D71A55" w:rsidRDefault="00136B60" w:rsidP="00D92243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6B60" w:rsidRPr="00D71A55" w:rsidRDefault="00136B60" w:rsidP="00136B60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243 333,33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36B60" w:rsidRPr="00D71A55" w:rsidRDefault="00136B60" w:rsidP="00136B60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>486 666,66</w:t>
            </w:r>
          </w:p>
        </w:tc>
      </w:tr>
      <w:tr w:rsidR="00136B60" w:rsidRPr="00D71A55" w:rsidTr="00D71A55">
        <w:trPr>
          <w:trHeight w:val="429"/>
        </w:trPr>
        <w:tc>
          <w:tcPr>
            <w:tcW w:w="27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6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136B60" w:rsidRPr="00D71A55" w:rsidRDefault="00136B60" w:rsidP="00136B60">
            <w:pPr>
              <w:autoSpaceDE/>
              <w:autoSpaceDN/>
              <w:adjustRightInd/>
              <w:rPr>
                <w:color w:val="000000"/>
              </w:rPr>
            </w:pPr>
            <w:r w:rsidRPr="00D71A55">
              <w:rPr>
                <w:color w:val="000000"/>
              </w:rPr>
              <w:t>Плита дорожная 2-6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136B60" w:rsidRPr="00D71A55" w:rsidRDefault="00136B60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Плита дорожная ПД-2-6, размеры 2980х1480х180мм, масса изделия 2,0</w:t>
            </w:r>
            <w:r w:rsidR="00D23E0F" w:rsidRPr="00D71A55">
              <w:rPr>
                <w:color w:val="000000"/>
              </w:rPr>
              <w:t xml:space="preserve"> </w:t>
            </w:r>
            <w:r w:rsidRPr="00D71A55">
              <w:rPr>
                <w:color w:val="000000"/>
              </w:rPr>
              <w:t>т.</w:t>
            </w:r>
          </w:p>
          <w:p w:rsidR="00D23E0F" w:rsidRPr="00D71A55" w:rsidRDefault="00D23E0F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ГОСТ 13015-2012.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шт.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6B60" w:rsidRPr="00D71A55" w:rsidRDefault="00136B60" w:rsidP="00AF3A54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10 566,67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36B60" w:rsidRPr="00D71A55" w:rsidRDefault="00136B60" w:rsidP="00136B60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>528 333,50</w:t>
            </w:r>
          </w:p>
        </w:tc>
      </w:tr>
      <w:tr w:rsidR="00136B60" w:rsidRPr="00D71A55" w:rsidTr="00D71A55">
        <w:trPr>
          <w:trHeight w:val="435"/>
        </w:trPr>
        <w:tc>
          <w:tcPr>
            <w:tcW w:w="27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</w:pPr>
            <w:r w:rsidRPr="00D71A55">
              <w:t>7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136B60" w:rsidRPr="00D71A55" w:rsidRDefault="00136B60" w:rsidP="00136B60">
            <w:pPr>
              <w:autoSpaceDE/>
              <w:autoSpaceDN/>
              <w:adjustRightInd/>
            </w:pPr>
            <w:r w:rsidRPr="00D71A55">
              <w:t>ФБС 24-6-6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D23E0F" w:rsidRPr="00D71A55" w:rsidRDefault="00136B60" w:rsidP="00136B60">
            <w:pPr>
              <w:autoSpaceDE/>
              <w:autoSpaceDN/>
              <w:adjustRightInd/>
              <w:jc w:val="center"/>
            </w:pPr>
            <w:r w:rsidRPr="00D71A55">
              <w:t>Фундаментный блок ФБС 24-6-6, размер 2380х600х580мм, масса изделия 1,3</w:t>
            </w:r>
            <w:r w:rsidR="00D71A55">
              <w:t xml:space="preserve"> </w:t>
            </w:r>
            <w:r w:rsidRPr="00D71A55">
              <w:t>т.</w:t>
            </w:r>
            <w:r w:rsidR="00D23E0F" w:rsidRPr="00D71A55">
              <w:t xml:space="preserve"> </w:t>
            </w:r>
          </w:p>
          <w:p w:rsidR="00136B60" w:rsidRPr="00D71A55" w:rsidRDefault="00D23E0F" w:rsidP="00136B60">
            <w:pPr>
              <w:autoSpaceDE/>
              <w:autoSpaceDN/>
              <w:adjustRightInd/>
              <w:jc w:val="center"/>
            </w:pPr>
            <w:r w:rsidRPr="00D71A55">
              <w:t>ГОСТ 13015-2012.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</w:pPr>
            <w:r w:rsidRPr="00D71A55">
              <w:t>шт.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</w:pPr>
            <w:r w:rsidRPr="00D71A55">
              <w:t>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6B60" w:rsidRPr="00D71A55" w:rsidRDefault="00136B60" w:rsidP="00AF3A54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1 493,33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36B60" w:rsidRPr="00D71A55" w:rsidRDefault="00136B60" w:rsidP="00136B60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>74 666,50</w:t>
            </w:r>
          </w:p>
        </w:tc>
      </w:tr>
      <w:tr w:rsidR="00136B60" w:rsidRPr="00D71A55" w:rsidTr="00D71A55">
        <w:trPr>
          <w:trHeight w:val="435"/>
        </w:trPr>
        <w:tc>
          <w:tcPr>
            <w:tcW w:w="272" w:type="pct"/>
            <w:shd w:val="clear" w:color="auto" w:fill="auto"/>
            <w:vAlign w:val="center"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8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36B60" w:rsidRPr="00D71A55" w:rsidRDefault="00136B60" w:rsidP="00136B60">
            <w:pPr>
              <w:autoSpaceDE/>
              <w:autoSpaceDN/>
              <w:adjustRightInd/>
              <w:rPr>
                <w:color w:val="000000"/>
              </w:rPr>
            </w:pPr>
            <w:r w:rsidRPr="00D71A55">
              <w:rPr>
                <w:color w:val="000000"/>
              </w:rPr>
              <w:t>ФБС 24-5-6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136B60" w:rsidRPr="00D71A55" w:rsidRDefault="00136B60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Фундаментный блок ФБС 24-5-6, размер 2380х500х580мм, масса изделия 1,3</w:t>
            </w:r>
            <w:r w:rsidR="00D71A55">
              <w:rPr>
                <w:color w:val="000000"/>
              </w:rPr>
              <w:t xml:space="preserve"> т</w:t>
            </w:r>
            <w:r w:rsidRPr="00D71A55">
              <w:rPr>
                <w:color w:val="000000"/>
              </w:rPr>
              <w:t>.</w:t>
            </w:r>
          </w:p>
          <w:p w:rsidR="00D23E0F" w:rsidRPr="00D71A55" w:rsidRDefault="00D23E0F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t>ГОСТ 13015-2012.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шт.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6B60" w:rsidRPr="00D71A55" w:rsidRDefault="00136B60" w:rsidP="00AF3A54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4 966,67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36B60" w:rsidRPr="00D71A55" w:rsidRDefault="00136B60" w:rsidP="00EC476F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>248 333,50</w:t>
            </w:r>
          </w:p>
        </w:tc>
      </w:tr>
      <w:tr w:rsidR="00136B60" w:rsidRPr="00D71A55" w:rsidTr="00D71A55">
        <w:trPr>
          <w:trHeight w:val="420"/>
        </w:trPr>
        <w:tc>
          <w:tcPr>
            <w:tcW w:w="27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9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136B60" w:rsidRPr="00D71A55" w:rsidRDefault="00136B60" w:rsidP="00136B60">
            <w:pPr>
              <w:autoSpaceDE/>
              <w:autoSpaceDN/>
              <w:adjustRightInd/>
              <w:rPr>
                <w:color w:val="000000"/>
              </w:rPr>
            </w:pPr>
            <w:r w:rsidRPr="00D71A55">
              <w:rPr>
                <w:color w:val="000000"/>
              </w:rPr>
              <w:t>ФБС 24-4-6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136B60" w:rsidRPr="00D71A55" w:rsidRDefault="00136B60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Фундаментный блок ФБС 24-4-6, размер 2380х400х580мм, масса изделия 1,3</w:t>
            </w:r>
            <w:r w:rsidR="00D71A55">
              <w:rPr>
                <w:color w:val="000000"/>
              </w:rPr>
              <w:t xml:space="preserve"> т</w:t>
            </w:r>
            <w:r w:rsidRPr="00D71A55">
              <w:rPr>
                <w:color w:val="000000"/>
              </w:rPr>
              <w:t>.</w:t>
            </w:r>
          </w:p>
          <w:p w:rsidR="00D23E0F" w:rsidRPr="00D71A55" w:rsidRDefault="00D23E0F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t>ГОСТ 13015-2012.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шт.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6B60" w:rsidRPr="00D71A55" w:rsidRDefault="00136B60" w:rsidP="00AF3A54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1 493,33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36B60" w:rsidRPr="00D71A55" w:rsidRDefault="00136B60" w:rsidP="00136B60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>74 666,50</w:t>
            </w:r>
          </w:p>
        </w:tc>
      </w:tr>
      <w:tr w:rsidR="00136B60" w:rsidRPr="00D71A55" w:rsidTr="00D71A55">
        <w:trPr>
          <w:trHeight w:val="360"/>
        </w:trPr>
        <w:tc>
          <w:tcPr>
            <w:tcW w:w="27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10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136B60" w:rsidRPr="00D71A55" w:rsidRDefault="00136B60" w:rsidP="00136B60">
            <w:pPr>
              <w:autoSpaceDE/>
              <w:autoSpaceDN/>
              <w:adjustRightInd/>
              <w:rPr>
                <w:color w:val="000000"/>
              </w:rPr>
            </w:pPr>
            <w:r w:rsidRPr="00D71A55">
              <w:rPr>
                <w:color w:val="000000"/>
              </w:rPr>
              <w:t>ФБС 24-3-3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136B60" w:rsidRPr="00D71A55" w:rsidRDefault="00136B60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Фундаментный блок ФБС 24-3-3, размер 2380х300х280мм, масса изделия 0,49</w:t>
            </w:r>
            <w:r w:rsidR="00D71A55">
              <w:rPr>
                <w:color w:val="000000"/>
              </w:rPr>
              <w:t xml:space="preserve"> т</w:t>
            </w:r>
            <w:r w:rsidRPr="00D71A55">
              <w:rPr>
                <w:color w:val="000000"/>
              </w:rPr>
              <w:t>.</w:t>
            </w:r>
          </w:p>
          <w:p w:rsidR="00D23E0F" w:rsidRPr="00D71A55" w:rsidRDefault="00D23E0F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t>ГОСТ 13015-2012.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шт.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6B60" w:rsidRPr="00D71A55" w:rsidRDefault="00136B60" w:rsidP="00AF3A54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1 493,33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36B60" w:rsidRPr="00D71A55" w:rsidRDefault="00136B60" w:rsidP="00EC476F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>74 666,50</w:t>
            </w:r>
          </w:p>
        </w:tc>
      </w:tr>
      <w:tr w:rsidR="00136B60" w:rsidRPr="00D71A55" w:rsidTr="00D71A55">
        <w:trPr>
          <w:trHeight w:val="405"/>
        </w:trPr>
        <w:tc>
          <w:tcPr>
            <w:tcW w:w="27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11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136B60" w:rsidRPr="00D71A55" w:rsidRDefault="00136B60" w:rsidP="00136B60">
            <w:pPr>
              <w:autoSpaceDE/>
              <w:autoSpaceDN/>
              <w:adjustRightInd/>
              <w:rPr>
                <w:color w:val="000000"/>
              </w:rPr>
            </w:pPr>
            <w:r w:rsidRPr="00D71A55">
              <w:rPr>
                <w:color w:val="000000"/>
              </w:rPr>
              <w:t>ФБС 12-4-6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136B60" w:rsidRPr="00D71A55" w:rsidRDefault="00136B60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Фундаментный блок ФБС 12-4-6, размер 1180</w:t>
            </w:r>
            <w:r w:rsidR="00D71A55">
              <w:rPr>
                <w:color w:val="000000"/>
              </w:rPr>
              <w:t>х400х580мм, масса изделия 0,64 т</w:t>
            </w:r>
            <w:r w:rsidRPr="00D71A55">
              <w:rPr>
                <w:color w:val="000000"/>
              </w:rPr>
              <w:t>.</w:t>
            </w:r>
          </w:p>
          <w:p w:rsidR="008B2CA6" w:rsidRPr="00D71A55" w:rsidRDefault="008B2CA6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t>ГОСТ 13015-2012.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шт.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6B60" w:rsidRPr="00D71A55" w:rsidRDefault="00136B60" w:rsidP="00EC476F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1 493,33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36B60" w:rsidRPr="00D71A55" w:rsidRDefault="00136B60" w:rsidP="00EC476F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>74 666,50</w:t>
            </w:r>
          </w:p>
        </w:tc>
      </w:tr>
      <w:tr w:rsidR="00136B60" w:rsidRPr="00BA02B0" w:rsidTr="00D71A55">
        <w:trPr>
          <w:trHeight w:val="345"/>
        </w:trPr>
        <w:tc>
          <w:tcPr>
            <w:tcW w:w="27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lastRenderedPageBreak/>
              <w:t>12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136B60" w:rsidRPr="00D71A55" w:rsidRDefault="00136B60" w:rsidP="00136B60">
            <w:pPr>
              <w:autoSpaceDE/>
              <w:autoSpaceDN/>
              <w:adjustRightInd/>
              <w:rPr>
                <w:color w:val="000000"/>
              </w:rPr>
            </w:pPr>
            <w:r w:rsidRPr="00D71A55">
              <w:rPr>
                <w:color w:val="000000"/>
              </w:rPr>
              <w:t>ФБС 12-3-3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136B60" w:rsidRPr="00D71A55" w:rsidRDefault="00136B60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Фундаментный блок ФБС 12-3-3, размер 118</w:t>
            </w:r>
            <w:r w:rsidR="00D71A55">
              <w:rPr>
                <w:color w:val="000000"/>
              </w:rPr>
              <w:t>0х300х280мм, масса изделия 0,1 т</w:t>
            </w:r>
            <w:r w:rsidRPr="00D71A55">
              <w:rPr>
                <w:color w:val="000000"/>
              </w:rPr>
              <w:t>.</w:t>
            </w:r>
          </w:p>
          <w:p w:rsidR="008B2CA6" w:rsidRPr="00D71A55" w:rsidRDefault="008B2CA6" w:rsidP="00136B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t>ГОСТ 13015-2012.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шт.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36B60" w:rsidRPr="00D71A55" w:rsidRDefault="00136B60" w:rsidP="00EC476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6B60" w:rsidRPr="00D71A55" w:rsidRDefault="00136B60" w:rsidP="00EC476F">
            <w:pPr>
              <w:jc w:val="center"/>
              <w:rPr>
                <w:color w:val="000000"/>
              </w:rPr>
            </w:pPr>
            <w:r w:rsidRPr="00D71A55">
              <w:rPr>
                <w:color w:val="000000"/>
              </w:rPr>
              <w:t>1 493,33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36B60" w:rsidRPr="00136B60" w:rsidRDefault="00136B60" w:rsidP="00EC476F">
            <w:pPr>
              <w:jc w:val="right"/>
              <w:rPr>
                <w:color w:val="000000"/>
              </w:rPr>
            </w:pPr>
            <w:r w:rsidRPr="00D71A55">
              <w:rPr>
                <w:color w:val="000000"/>
              </w:rPr>
              <w:t>74 666,50</w:t>
            </w:r>
          </w:p>
        </w:tc>
      </w:tr>
    </w:tbl>
    <w:p w:rsidR="008F17E8" w:rsidRDefault="008F17E8" w:rsidP="00584470">
      <w:pPr>
        <w:outlineLvl w:val="0"/>
        <w:rPr>
          <w:b/>
          <w:sz w:val="24"/>
          <w:szCs w:val="24"/>
        </w:rPr>
      </w:pPr>
    </w:p>
    <w:p w:rsidR="00584470" w:rsidRPr="00046462" w:rsidRDefault="00584470" w:rsidP="00584470">
      <w:pPr>
        <w:jc w:val="both"/>
        <w:rPr>
          <w:b/>
          <w:bCs/>
          <w:i/>
          <w:iCs/>
          <w:color w:val="252525"/>
          <w:sz w:val="24"/>
          <w:szCs w:val="24"/>
        </w:rPr>
      </w:pPr>
      <w:r w:rsidRPr="00046462">
        <w:rPr>
          <w:b/>
          <w:bCs/>
          <w:i/>
          <w:iCs/>
          <w:color w:val="252525"/>
          <w:sz w:val="24"/>
          <w:szCs w:val="24"/>
        </w:rPr>
        <w:t>2. Требования к качеству и безопасности товара:</w:t>
      </w:r>
    </w:p>
    <w:p w:rsidR="00584470" w:rsidRPr="00046462" w:rsidRDefault="00584470" w:rsidP="00584470">
      <w:pPr>
        <w:jc w:val="both"/>
        <w:outlineLvl w:val="0"/>
        <w:rPr>
          <w:bCs/>
          <w:sz w:val="24"/>
          <w:szCs w:val="24"/>
        </w:rPr>
      </w:pPr>
      <w:r w:rsidRPr="00046462">
        <w:rPr>
          <w:sz w:val="24"/>
          <w:szCs w:val="24"/>
        </w:rPr>
        <w:t xml:space="preserve">2.1. Товар должен быть новым, </w:t>
      </w:r>
      <w:r w:rsidRPr="00046462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584470" w:rsidRPr="00046462" w:rsidRDefault="00584470" w:rsidP="00584470">
      <w:pPr>
        <w:jc w:val="both"/>
        <w:outlineLvl w:val="0"/>
        <w:rPr>
          <w:sz w:val="24"/>
          <w:szCs w:val="24"/>
        </w:rPr>
      </w:pPr>
      <w:r w:rsidRPr="00046462">
        <w:rPr>
          <w:sz w:val="24"/>
          <w:szCs w:val="24"/>
        </w:rPr>
        <w:t>2.2. Товар должен быть не заложен, не арестован, не являться предметом исков третьих лиц.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046462">
        <w:rPr>
          <w:sz w:val="24"/>
          <w:szCs w:val="24"/>
        </w:rPr>
        <w:t>2.3.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046462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046462">
        <w:rPr>
          <w:sz w:val="24"/>
          <w:szCs w:val="24"/>
        </w:rPr>
        <w:t>2.4. 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584470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2461" w:rsidRDefault="00582461" w:rsidP="00582461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A2474C">
        <w:rPr>
          <w:b/>
          <w:i/>
          <w:sz w:val="24"/>
          <w:szCs w:val="24"/>
        </w:rPr>
        <w:t xml:space="preserve">. </w:t>
      </w:r>
      <w:r w:rsidRPr="00A2474C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582461" w:rsidRPr="00EA7D10" w:rsidRDefault="00582461" w:rsidP="00582461">
      <w:pPr>
        <w:tabs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EA7D10">
        <w:rPr>
          <w:sz w:val="24"/>
          <w:szCs w:val="24"/>
        </w:rPr>
        <w:t>Гарантийные обязательства: в соответствии со сроками гарантии, установленными заводом-изготовителем, но не менее 12 (</w:t>
      </w:r>
      <w:r w:rsidRPr="00EA7D10">
        <w:rPr>
          <w:color w:val="000000"/>
          <w:sz w:val="24"/>
          <w:szCs w:val="24"/>
        </w:rPr>
        <w:t xml:space="preserve">двенадцати) </w:t>
      </w:r>
      <w:r w:rsidRPr="00EA7D10">
        <w:rPr>
          <w:sz w:val="24"/>
          <w:szCs w:val="24"/>
        </w:rPr>
        <w:t xml:space="preserve">месяцев со дня приемки Товара. В течение гарантийного срока ремонт или замена товара, или его части производится безвозмездно Участником (Поставщиком). </w:t>
      </w:r>
    </w:p>
    <w:p w:rsidR="00582461" w:rsidRPr="00EA7D10" w:rsidRDefault="00582461" w:rsidP="00582461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EA7D10">
        <w:rPr>
          <w:color w:val="000000"/>
          <w:sz w:val="24"/>
          <w:szCs w:val="24"/>
        </w:rPr>
        <w:t xml:space="preserve">В случае замены какой-либо части Товара на такую замененную часть </w:t>
      </w:r>
      <w:r>
        <w:rPr>
          <w:color w:val="000000"/>
          <w:sz w:val="24"/>
          <w:szCs w:val="24"/>
        </w:rPr>
        <w:t xml:space="preserve">Товара Участник (Поставщик) предоставляет </w:t>
      </w:r>
      <w:r w:rsidRPr="00EA7D10">
        <w:rPr>
          <w:color w:val="000000"/>
          <w:sz w:val="24"/>
          <w:szCs w:val="24"/>
        </w:rPr>
        <w:t xml:space="preserve">гарантию. Срок гарантии при этом устанавливается </w:t>
      </w:r>
      <w:r>
        <w:rPr>
          <w:color w:val="000000"/>
          <w:sz w:val="24"/>
          <w:szCs w:val="24"/>
        </w:rPr>
        <w:t>Участником (</w:t>
      </w:r>
      <w:r w:rsidRPr="00EA7D10">
        <w:rPr>
          <w:color w:val="000000"/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>)</w:t>
      </w:r>
      <w:r w:rsidRPr="00EA7D10">
        <w:rPr>
          <w:color w:val="000000"/>
          <w:sz w:val="24"/>
          <w:szCs w:val="24"/>
        </w:rPr>
        <w:t xml:space="preserve"> или производителем детали Товара, но не менее срока, указанного в </w:t>
      </w:r>
      <w:r>
        <w:rPr>
          <w:color w:val="000000"/>
          <w:sz w:val="24"/>
          <w:szCs w:val="24"/>
        </w:rPr>
        <w:t xml:space="preserve">первом абзаце пункта </w:t>
      </w:r>
      <w:r w:rsidR="00586F2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настоящего Технического задания</w:t>
      </w:r>
      <w:r w:rsidRPr="00EA7D10">
        <w:rPr>
          <w:color w:val="000000"/>
          <w:sz w:val="24"/>
          <w:szCs w:val="24"/>
        </w:rPr>
        <w:t xml:space="preserve">. </w:t>
      </w:r>
    </w:p>
    <w:p w:rsidR="00582461" w:rsidRDefault="00582461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584470" w:rsidRPr="00046462">
        <w:rPr>
          <w:b/>
          <w:i/>
          <w:sz w:val="24"/>
          <w:szCs w:val="24"/>
        </w:rPr>
        <w:t>. Требования к таре и упаковке товара: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.2. Стоимость тары, упаковки включается в стоимость товара.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.3. Тара и упаковка возврату не подлежат.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584470" w:rsidRPr="00046462">
        <w:rPr>
          <w:b/>
          <w:i/>
          <w:sz w:val="24"/>
          <w:szCs w:val="24"/>
        </w:rPr>
        <w:t>. Требования к отгрузке и доставке товара: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 xml:space="preserve">.1. Поставка Товара осуществляется отдельными партиями: </w:t>
      </w:r>
      <w:r w:rsidR="00584470" w:rsidRPr="00046462">
        <w:rPr>
          <w:bCs/>
          <w:color w:val="000000"/>
          <w:sz w:val="24"/>
          <w:szCs w:val="24"/>
        </w:rPr>
        <w:t>с момента заключения договора по 30.</w:t>
      </w:r>
      <w:r w:rsidR="00BE2F90">
        <w:rPr>
          <w:bCs/>
          <w:color w:val="000000"/>
          <w:sz w:val="24"/>
          <w:szCs w:val="24"/>
        </w:rPr>
        <w:t>06</w:t>
      </w:r>
      <w:r w:rsidR="00584470" w:rsidRPr="00046462">
        <w:rPr>
          <w:bCs/>
          <w:color w:val="000000"/>
          <w:sz w:val="24"/>
          <w:szCs w:val="24"/>
        </w:rPr>
        <w:t>.20</w:t>
      </w:r>
      <w:r w:rsidR="00FD48D3" w:rsidRPr="00046462">
        <w:rPr>
          <w:bCs/>
          <w:color w:val="000000"/>
          <w:sz w:val="24"/>
          <w:szCs w:val="24"/>
        </w:rPr>
        <w:t>21</w:t>
      </w:r>
      <w:r w:rsidR="00584470" w:rsidRPr="00046462">
        <w:rPr>
          <w:bCs/>
          <w:color w:val="000000"/>
          <w:sz w:val="24"/>
          <w:szCs w:val="24"/>
        </w:rPr>
        <w:t xml:space="preserve"> г.,</w:t>
      </w: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согласно</w:t>
      </w:r>
      <w:proofErr w:type="gramEnd"/>
      <w:r>
        <w:rPr>
          <w:bCs/>
          <w:color w:val="000000"/>
          <w:sz w:val="24"/>
          <w:szCs w:val="24"/>
        </w:rPr>
        <w:t xml:space="preserve"> согласованных Заявок.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>.2. Дата доставки товара должна быть предварительно согласована с Заказчиком.</w:t>
      </w:r>
    </w:p>
    <w:p w:rsidR="00584470" w:rsidRPr="00046462" w:rsidRDefault="00BF57EA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584470" w:rsidRPr="00046462">
        <w:rPr>
          <w:bCs/>
          <w:color w:val="000000"/>
          <w:sz w:val="24"/>
          <w:szCs w:val="24"/>
        </w:rPr>
        <w:t xml:space="preserve">.3. Участник (Поставщик) производит доставку </w:t>
      </w:r>
      <w:r w:rsidR="00584470" w:rsidRPr="00046462">
        <w:rPr>
          <w:sz w:val="24"/>
          <w:szCs w:val="24"/>
        </w:rPr>
        <w:t xml:space="preserve">товара по адресу: </w:t>
      </w:r>
      <w:r w:rsidR="00584470" w:rsidRPr="00046462">
        <w:rPr>
          <w:color w:val="000000"/>
          <w:sz w:val="24"/>
          <w:szCs w:val="24"/>
        </w:rPr>
        <w:t>РТ, Нижнекамский район, г. Нижнекамск, ул. Первопроходцев, д. 12</w:t>
      </w:r>
      <w:proofErr w:type="gramStart"/>
      <w:r w:rsidR="00584470" w:rsidRPr="00046462">
        <w:rPr>
          <w:color w:val="000000"/>
          <w:sz w:val="24"/>
          <w:szCs w:val="24"/>
        </w:rPr>
        <w:t xml:space="preserve"> А</w:t>
      </w:r>
      <w:proofErr w:type="gramEnd"/>
      <w:r w:rsidR="00584470" w:rsidRPr="00046462">
        <w:rPr>
          <w:color w:val="000000"/>
          <w:sz w:val="24"/>
          <w:szCs w:val="24"/>
        </w:rPr>
        <w:t>, склад Заказчика.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>.4. Доставка товара производится силами Участника (Поставщика).</w:t>
      </w:r>
    </w:p>
    <w:p w:rsidR="00584470" w:rsidRPr="000351A0" w:rsidRDefault="00BF57EA" w:rsidP="0058447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 xml:space="preserve">.5. Право собственности на товар переходит к Заказчику </w:t>
      </w:r>
      <w:proofErr w:type="gramStart"/>
      <w:r w:rsidR="00584470" w:rsidRPr="00046462">
        <w:rPr>
          <w:sz w:val="24"/>
          <w:szCs w:val="24"/>
        </w:rPr>
        <w:t>с даты приемки</w:t>
      </w:r>
      <w:proofErr w:type="gramEnd"/>
      <w:r w:rsidR="00584470" w:rsidRPr="00046462">
        <w:rPr>
          <w:sz w:val="24"/>
          <w:szCs w:val="24"/>
        </w:rPr>
        <w:t xml:space="preserve"> товара Заказчиком.</w:t>
      </w:r>
      <w:r w:rsidR="00584470" w:rsidRPr="000351A0">
        <w:rPr>
          <w:sz w:val="24"/>
          <w:szCs w:val="24"/>
        </w:rPr>
        <w:t xml:space="preserve"> </w:t>
      </w:r>
    </w:p>
    <w:p w:rsidR="00584470" w:rsidRPr="003E08E4" w:rsidRDefault="00584470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</w:p>
    <w:p w:rsidR="00584470" w:rsidRPr="004D2334" w:rsidRDefault="00584470" w:rsidP="00584470">
      <w:pPr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584470" w:rsidRPr="00CC7948" w:rsidRDefault="00584470" w:rsidP="00584470">
      <w:pPr>
        <w:jc w:val="both"/>
        <w:rPr>
          <w:bCs/>
          <w:iCs/>
          <w:color w:val="252525"/>
          <w:sz w:val="24"/>
          <w:szCs w:val="24"/>
        </w:rPr>
      </w:pPr>
    </w:p>
    <w:p w:rsidR="00584470" w:rsidRPr="001867AB" w:rsidRDefault="00584470" w:rsidP="00584470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BE2F90" w:rsidRDefault="00BE2F90" w:rsidP="00584470">
      <w:pPr>
        <w:outlineLvl w:val="0"/>
        <w:rPr>
          <w:b/>
          <w:i/>
          <w:sz w:val="22"/>
          <w:szCs w:val="22"/>
          <w:u w:val="single"/>
        </w:rPr>
      </w:pPr>
    </w:p>
    <w:p w:rsidR="00584470" w:rsidRDefault="00584470" w:rsidP="00584470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84470" w:rsidRDefault="00584470" w:rsidP="00584470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</w:t>
      </w:r>
      <w:r w:rsidR="00763550">
        <w:rPr>
          <w:bCs/>
          <w:i/>
          <w:sz w:val="22"/>
          <w:szCs w:val="22"/>
          <w:vertAlign w:val="superscript"/>
        </w:rPr>
        <w:t xml:space="preserve"> 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621DDA">
        <w:rPr>
          <w:b/>
          <w:sz w:val="24"/>
          <w:szCs w:val="24"/>
        </w:rPr>
        <w:t xml:space="preserve"> </w:t>
      </w:r>
      <w:r w:rsidR="00621DDA" w:rsidRPr="00C47C91">
        <w:rPr>
          <w:b/>
          <w:sz w:val="24"/>
          <w:szCs w:val="24"/>
        </w:rPr>
        <w:t>железобетонные изделия</w:t>
      </w:r>
      <w:r w:rsidR="00621DDA">
        <w:rPr>
          <w:bCs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2.1. Поставка Товара осуществляется </w:t>
      </w:r>
      <w:r w:rsidRPr="00B25710">
        <w:rPr>
          <w:sz w:val="24"/>
          <w:szCs w:val="24"/>
        </w:rPr>
        <w:t xml:space="preserve">отдельными партиями </w:t>
      </w:r>
      <w:r w:rsidRPr="00B25710">
        <w:rPr>
          <w:bCs/>
          <w:sz w:val="24"/>
          <w:szCs w:val="24"/>
        </w:rPr>
        <w:t>с момента заключения договора по письменны</w:t>
      </w:r>
      <w:r w:rsidR="00DC1B1F">
        <w:rPr>
          <w:bCs/>
          <w:sz w:val="24"/>
          <w:szCs w:val="24"/>
        </w:rPr>
        <w:t xml:space="preserve">м заявкам Покупателя, в течение </w:t>
      </w:r>
      <w:r w:rsidR="000C658E">
        <w:rPr>
          <w:sz w:val="24"/>
          <w:szCs w:val="24"/>
        </w:rPr>
        <w:t>7</w:t>
      </w:r>
      <w:r w:rsidRPr="00B25710">
        <w:rPr>
          <w:sz w:val="24"/>
          <w:szCs w:val="24"/>
        </w:rPr>
        <w:t xml:space="preserve"> (</w:t>
      </w:r>
      <w:r w:rsidR="000C658E">
        <w:rPr>
          <w:bCs/>
          <w:color w:val="000000"/>
          <w:sz w:val="24"/>
          <w:szCs w:val="24"/>
        </w:rPr>
        <w:t>Семи</w:t>
      </w:r>
      <w:r w:rsidRPr="00B25710">
        <w:rPr>
          <w:sz w:val="24"/>
          <w:szCs w:val="24"/>
        </w:rPr>
        <w:t xml:space="preserve">) рабочих </w:t>
      </w:r>
      <w:r w:rsidRPr="00B25710">
        <w:rPr>
          <w:bCs/>
          <w:sz w:val="24"/>
          <w:szCs w:val="24"/>
        </w:rPr>
        <w:t>дней с момента получения заявки Поставщиком</w:t>
      </w:r>
      <w:r w:rsidR="00854945">
        <w:rPr>
          <w:sz w:val="24"/>
          <w:szCs w:val="24"/>
        </w:rPr>
        <w:t xml:space="preserve">. </w:t>
      </w:r>
      <w:r w:rsidR="00854945" w:rsidRPr="003E08E4">
        <w:rPr>
          <w:sz w:val="24"/>
          <w:szCs w:val="24"/>
        </w:rPr>
        <w:t>Мини</w:t>
      </w:r>
      <w:r w:rsidR="00854945">
        <w:rPr>
          <w:sz w:val="24"/>
          <w:szCs w:val="24"/>
        </w:rPr>
        <w:t>мальная партия пост</w:t>
      </w:r>
      <w:r w:rsidR="00621DDA">
        <w:rPr>
          <w:sz w:val="24"/>
          <w:szCs w:val="24"/>
        </w:rPr>
        <w:t>авки товара: 1 шт</w:t>
      </w:r>
      <w:r w:rsidR="00854945" w:rsidRPr="003E08E4">
        <w:rPr>
          <w:sz w:val="24"/>
          <w:szCs w:val="24"/>
        </w:rPr>
        <w:t>.</w:t>
      </w:r>
      <w:r w:rsidR="00854945">
        <w:rPr>
          <w:sz w:val="24"/>
          <w:szCs w:val="24"/>
        </w:rPr>
        <w:t xml:space="preserve">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>
        <w:rPr>
          <w:bCs/>
          <w:sz w:val="24"/>
          <w:szCs w:val="24"/>
        </w:rPr>
        <w:t>30</w:t>
      </w:r>
      <w:r w:rsidRPr="00B25710">
        <w:rPr>
          <w:bCs/>
          <w:sz w:val="24"/>
          <w:szCs w:val="24"/>
        </w:rPr>
        <w:t>.</w:t>
      </w:r>
      <w:r w:rsidR="00C04C54">
        <w:rPr>
          <w:bCs/>
          <w:sz w:val="24"/>
          <w:szCs w:val="24"/>
        </w:rPr>
        <w:t>06</w:t>
      </w:r>
      <w:r w:rsidR="00FD48D3">
        <w:rPr>
          <w:bCs/>
          <w:sz w:val="24"/>
          <w:szCs w:val="24"/>
        </w:rPr>
        <w:t>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</w:t>
      </w:r>
      <w:r w:rsidRPr="008E1182">
        <w:rPr>
          <w:bCs/>
          <w:sz w:val="24"/>
          <w:szCs w:val="24"/>
        </w:rPr>
        <w:lastRenderedPageBreak/>
        <w:t xml:space="preserve">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AC1F7E" w:rsidP="00AB2F3D">
      <w:pPr>
        <w:jc w:val="center"/>
        <w:rPr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C23010">
        <w:rPr>
          <w:bCs/>
          <w:color w:val="000000"/>
          <w:sz w:val="24"/>
          <w:szCs w:val="24"/>
        </w:rPr>
        <w:t>90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AC1F7E" w:rsidP="00AB2F3D">
      <w:pPr>
        <w:jc w:val="center"/>
        <w:rPr>
          <w:b/>
          <w:bCs/>
          <w:sz w:val="24"/>
          <w:szCs w:val="24"/>
        </w:rPr>
      </w:pPr>
      <w:hyperlink r:id="rId15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6.7. Настоящий договор (а также изменения и дополнения к нему) считается заключенным и имеет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</w:t>
      </w:r>
      <w:r w:rsidRPr="008E1182">
        <w:rPr>
          <w:noProof/>
          <w:sz w:val="24"/>
          <w:szCs w:val="24"/>
        </w:rPr>
        <w:lastRenderedPageBreak/>
        <w:t>полного выполнения Сторонами принятых на себя обязательств, но не позднее «</w:t>
      </w:r>
      <w:r w:rsidR="00C04C54">
        <w:rPr>
          <w:noProof/>
          <w:sz w:val="24"/>
          <w:szCs w:val="24"/>
        </w:rPr>
        <w:t>30</w:t>
      </w:r>
      <w:r w:rsidRPr="008E1182">
        <w:rPr>
          <w:noProof/>
          <w:sz w:val="24"/>
          <w:szCs w:val="24"/>
        </w:rPr>
        <w:t xml:space="preserve">» </w:t>
      </w:r>
      <w:r w:rsidR="00C04C54">
        <w:rPr>
          <w:noProof/>
          <w:sz w:val="24"/>
          <w:szCs w:val="24"/>
        </w:rPr>
        <w:t xml:space="preserve">сентября </w:t>
      </w:r>
      <w:r w:rsidR="00FD48D3">
        <w:rPr>
          <w:noProof/>
          <w:sz w:val="24"/>
          <w:szCs w:val="24"/>
        </w:rPr>
        <w:t>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p w:rsidR="00AB2F3D" w:rsidRPr="00B13895" w:rsidRDefault="00AB2F3D" w:rsidP="00AB2F3D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AB2F3D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>
        <w:rPr>
          <w:sz w:val="24"/>
          <w:szCs w:val="24"/>
        </w:rPr>
        <w:tab/>
        <w:t xml:space="preserve"> 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8A4AA5" w:rsidRPr="00B574EF" w:rsidRDefault="008A4AA5" w:rsidP="008A4AA5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Требования </w:t>
            </w:r>
            <w:proofErr w:type="gramStart"/>
            <w:r w:rsidRPr="00B574EF">
              <w:rPr>
                <w:bCs/>
              </w:rPr>
              <w:t>техническим</w:t>
            </w:r>
            <w:proofErr w:type="gramEnd"/>
            <w:r w:rsidRPr="00B574EF">
              <w:rPr>
                <w:bCs/>
              </w:rPr>
              <w:t>,</w:t>
            </w:r>
          </w:p>
          <w:p w:rsidR="008A4AA5" w:rsidRPr="005F38ED" w:rsidRDefault="008A4AA5" w:rsidP="008A4AA5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574EF">
              <w:rPr>
                <w:bCs/>
              </w:rPr>
              <w:t xml:space="preserve">функциональным характеристикам </w:t>
            </w:r>
            <w:r w:rsidRPr="00B574EF">
              <w:t>(потребительским свойствам)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0C658E" w:rsidRPr="00B0710B" w:rsidRDefault="000C658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A5" w:rsidRPr="00B574EF" w:rsidRDefault="008A4AA5" w:rsidP="008A4AA5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Требования </w:t>
            </w:r>
            <w:proofErr w:type="gramStart"/>
            <w:r w:rsidRPr="00B574EF">
              <w:rPr>
                <w:bCs/>
              </w:rPr>
              <w:t>техническим</w:t>
            </w:r>
            <w:proofErr w:type="gramEnd"/>
            <w:r w:rsidRPr="00B574EF">
              <w:rPr>
                <w:bCs/>
              </w:rPr>
              <w:t>,</w:t>
            </w:r>
          </w:p>
          <w:p w:rsidR="003A1F4D" w:rsidRPr="000632FE" w:rsidRDefault="008A4AA5" w:rsidP="008A4AA5">
            <w:pPr>
              <w:tabs>
                <w:tab w:val="left" w:pos="3577"/>
              </w:tabs>
              <w:jc w:val="center"/>
            </w:pPr>
            <w:r>
              <w:rPr>
                <w:bCs/>
              </w:rPr>
              <w:t>функциональным характеристикам (</w:t>
            </w:r>
            <w:r w:rsidRPr="00B574EF">
              <w:t>потребительским свойствам) товара</w:t>
            </w:r>
            <w:r w:rsidRPr="007C6D5E">
              <w:rPr>
                <w:vertAlign w:val="superscript"/>
              </w:rPr>
              <w:t xml:space="preserve"> </w:t>
            </w:r>
            <w:r w:rsidR="003A1F4D"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Pr="00714E8E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321AD2" w:rsidRPr="00321AD2">
        <w:rPr>
          <w:sz w:val="24"/>
          <w:szCs w:val="24"/>
        </w:rPr>
        <w:t>Поставка железобетонных изделий</w:t>
      </w:r>
      <w:r w:rsidR="00ED79D8" w:rsidRPr="00321AD2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E025A7">
      <w:footerReference w:type="default" r:id="rId16"/>
      <w:pgSz w:w="11906" w:h="16838"/>
      <w:pgMar w:top="737" w:right="567" w:bottom="73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7E" w:rsidRDefault="00AC1F7E">
      <w:r>
        <w:separator/>
      </w:r>
    </w:p>
  </w:endnote>
  <w:endnote w:type="continuationSeparator" w:id="0">
    <w:p w:rsidR="00AC1F7E" w:rsidRDefault="00AC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6F" w:rsidRPr="00471D24" w:rsidRDefault="00EC476F">
    <w:pPr>
      <w:pStyle w:val="af0"/>
      <w:jc w:val="right"/>
      <w:rPr>
        <w:sz w:val="24"/>
        <w:szCs w:val="24"/>
      </w:rPr>
    </w:pPr>
    <w:r w:rsidRPr="00471D24">
      <w:rPr>
        <w:sz w:val="24"/>
        <w:szCs w:val="24"/>
      </w:rPr>
      <w:fldChar w:fldCharType="begin"/>
    </w:r>
    <w:r w:rsidRPr="00471D24">
      <w:rPr>
        <w:sz w:val="24"/>
        <w:szCs w:val="24"/>
      </w:rPr>
      <w:instrText>PAGE   \* MERGEFORMAT</w:instrText>
    </w:r>
    <w:r w:rsidRPr="00471D24">
      <w:rPr>
        <w:sz w:val="24"/>
        <w:szCs w:val="24"/>
      </w:rPr>
      <w:fldChar w:fldCharType="separate"/>
    </w:r>
    <w:r w:rsidR="00570222">
      <w:rPr>
        <w:noProof/>
        <w:sz w:val="24"/>
        <w:szCs w:val="24"/>
      </w:rPr>
      <w:t>8</w:t>
    </w:r>
    <w:r w:rsidRPr="00471D2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7E" w:rsidRDefault="00AC1F7E">
      <w:r>
        <w:separator/>
      </w:r>
    </w:p>
  </w:footnote>
  <w:footnote w:type="continuationSeparator" w:id="0">
    <w:p w:rsidR="00AC1F7E" w:rsidRDefault="00AC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022C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56B7"/>
    <w:rsid w:val="000E75E7"/>
    <w:rsid w:val="000E7DDA"/>
    <w:rsid w:val="000F000C"/>
    <w:rsid w:val="000F0644"/>
    <w:rsid w:val="000F144F"/>
    <w:rsid w:val="000F1EC7"/>
    <w:rsid w:val="000F1F34"/>
    <w:rsid w:val="000F2C4E"/>
    <w:rsid w:val="000F45D0"/>
    <w:rsid w:val="000F4AE4"/>
    <w:rsid w:val="000F66A2"/>
    <w:rsid w:val="000F745A"/>
    <w:rsid w:val="000F7875"/>
    <w:rsid w:val="000F78BD"/>
    <w:rsid w:val="00101B36"/>
    <w:rsid w:val="0010286E"/>
    <w:rsid w:val="00103D01"/>
    <w:rsid w:val="001041D0"/>
    <w:rsid w:val="00105398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5455"/>
    <w:rsid w:val="00136039"/>
    <w:rsid w:val="001363AF"/>
    <w:rsid w:val="00136B60"/>
    <w:rsid w:val="0013703D"/>
    <w:rsid w:val="00140BB1"/>
    <w:rsid w:val="001426E9"/>
    <w:rsid w:val="00142CC3"/>
    <w:rsid w:val="00142F18"/>
    <w:rsid w:val="00143105"/>
    <w:rsid w:val="00143B1C"/>
    <w:rsid w:val="00143DBF"/>
    <w:rsid w:val="0014419A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0E5"/>
    <w:rsid w:val="00182540"/>
    <w:rsid w:val="00182A3A"/>
    <w:rsid w:val="00182B48"/>
    <w:rsid w:val="00182FE3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2EEF"/>
    <w:rsid w:val="001D3F09"/>
    <w:rsid w:val="001D51E6"/>
    <w:rsid w:val="001D6282"/>
    <w:rsid w:val="001D67B2"/>
    <w:rsid w:val="001D7B7F"/>
    <w:rsid w:val="001D7CC2"/>
    <w:rsid w:val="001E009E"/>
    <w:rsid w:val="001E07D0"/>
    <w:rsid w:val="001E091A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71E3"/>
    <w:rsid w:val="00201268"/>
    <w:rsid w:val="002018BB"/>
    <w:rsid w:val="00202349"/>
    <w:rsid w:val="002026CF"/>
    <w:rsid w:val="0020332E"/>
    <w:rsid w:val="00203C4E"/>
    <w:rsid w:val="00204074"/>
    <w:rsid w:val="00204F73"/>
    <w:rsid w:val="002104AB"/>
    <w:rsid w:val="00213655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5D16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D73"/>
    <w:rsid w:val="002E3B96"/>
    <w:rsid w:val="002E5172"/>
    <w:rsid w:val="002E58FF"/>
    <w:rsid w:val="002E6D27"/>
    <w:rsid w:val="002E72F4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1AD2"/>
    <w:rsid w:val="00323921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6732"/>
    <w:rsid w:val="003376A4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205"/>
    <w:rsid w:val="003D27F0"/>
    <w:rsid w:val="003D433A"/>
    <w:rsid w:val="003D4391"/>
    <w:rsid w:val="003D4594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432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3AF5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637B"/>
    <w:rsid w:val="00487864"/>
    <w:rsid w:val="00487EBC"/>
    <w:rsid w:val="00490485"/>
    <w:rsid w:val="00490E1E"/>
    <w:rsid w:val="00492297"/>
    <w:rsid w:val="00492674"/>
    <w:rsid w:val="004927B4"/>
    <w:rsid w:val="004944AE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218"/>
    <w:rsid w:val="004C54CD"/>
    <w:rsid w:val="004C5EAC"/>
    <w:rsid w:val="004C6ED2"/>
    <w:rsid w:val="004C796E"/>
    <w:rsid w:val="004C7BB9"/>
    <w:rsid w:val="004D1C7A"/>
    <w:rsid w:val="004D1FAE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9C7"/>
    <w:rsid w:val="004E0061"/>
    <w:rsid w:val="004E0090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4089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5E2C"/>
    <w:rsid w:val="00570222"/>
    <w:rsid w:val="00571A59"/>
    <w:rsid w:val="0057225A"/>
    <w:rsid w:val="00574610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A02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5509"/>
    <w:rsid w:val="005D5AA4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AE"/>
    <w:rsid w:val="005E42C6"/>
    <w:rsid w:val="005E4E32"/>
    <w:rsid w:val="005E5321"/>
    <w:rsid w:val="005E5A57"/>
    <w:rsid w:val="005E6A10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1DDA"/>
    <w:rsid w:val="00624125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7C57"/>
    <w:rsid w:val="00687F12"/>
    <w:rsid w:val="00687F1F"/>
    <w:rsid w:val="00691211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58B"/>
    <w:rsid w:val="00720B8B"/>
    <w:rsid w:val="0072104E"/>
    <w:rsid w:val="00721605"/>
    <w:rsid w:val="00724228"/>
    <w:rsid w:val="0072469C"/>
    <w:rsid w:val="00724C8B"/>
    <w:rsid w:val="0072784F"/>
    <w:rsid w:val="0073144E"/>
    <w:rsid w:val="0073248E"/>
    <w:rsid w:val="00732E3F"/>
    <w:rsid w:val="007331FC"/>
    <w:rsid w:val="00733E62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608B"/>
    <w:rsid w:val="0089610D"/>
    <w:rsid w:val="00896ED8"/>
    <w:rsid w:val="008A1D0D"/>
    <w:rsid w:val="008A20BD"/>
    <w:rsid w:val="008A2CA3"/>
    <w:rsid w:val="008A302B"/>
    <w:rsid w:val="008A41F2"/>
    <w:rsid w:val="008A4AA5"/>
    <w:rsid w:val="008A4AD8"/>
    <w:rsid w:val="008A5356"/>
    <w:rsid w:val="008A7D40"/>
    <w:rsid w:val="008B2C3C"/>
    <w:rsid w:val="008B2CA6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D0CD3"/>
    <w:rsid w:val="008D1852"/>
    <w:rsid w:val="008D399D"/>
    <w:rsid w:val="008D4969"/>
    <w:rsid w:val="008D56E6"/>
    <w:rsid w:val="008D6686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17E8"/>
    <w:rsid w:val="008F26B8"/>
    <w:rsid w:val="008F2765"/>
    <w:rsid w:val="008F33A9"/>
    <w:rsid w:val="008F43DF"/>
    <w:rsid w:val="008F46C0"/>
    <w:rsid w:val="008F5325"/>
    <w:rsid w:val="008F5DF4"/>
    <w:rsid w:val="008F6487"/>
    <w:rsid w:val="008F7EB0"/>
    <w:rsid w:val="008F7F3B"/>
    <w:rsid w:val="00901033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5E63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57D1B"/>
    <w:rsid w:val="00960A75"/>
    <w:rsid w:val="00960ADE"/>
    <w:rsid w:val="00961B67"/>
    <w:rsid w:val="009621A8"/>
    <w:rsid w:val="00962AE0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CF4"/>
    <w:rsid w:val="00981ECC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2AB"/>
    <w:rsid w:val="009D14FF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73A"/>
    <w:rsid w:val="009E4D7E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423"/>
    <w:rsid w:val="00A35F1D"/>
    <w:rsid w:val="00A36699"/>
    <w:rsid w:val="00A375CA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1177"/>
    <w:rsid w:val="00AA2971"/>
    <w:rsid w:val="00AA29E8"/>
    <w:rsid w:val="00AA2CB2"/>
    <w:rsid w:val="00AA49DD"/>
    <w:rsid w:val="00AA50A7"/>
    <w:rsid w:val="00AA596E"/>
    <w:rsid w:val="00AA5B54"/>
    <w:rsid w:val="00AA65EF"/>
    <w:rsid w:val="00AA664B"/>
    <w:rsid w:val="00AA765D"/>
    <w:rsid w:val="00AB0768"/>
    <w:rsid w:val="00AB07C3"/>
    <w:rsid w:val="00AB0FEA"/>
    <w:rsid w:val="00AB2409"/>
    <w:rsid w:val="00AB2F3D"/>
    <w:rsid w:val="00AB3EEF"/>
    <w:rsid w:val="00AB4C58"/>
    <w:rsid w:val="00AB6A04"/>
    <w:rsid w:val="00AB72E0"/>
    <w:rsid w:val="00AB7CA4"/>
    <w:rsid w:val="00AB7E72"/>
    <w:rsid w:val="00AB7FDC"/>
    <w:rsid w:val="00AC181E"/>
    <w:rsid w:val="00AC1F7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C43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54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2B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A6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90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4C54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7E45"/>
    <w:rsid w:val="00C20D11"/>
    <w:rsid w:val="00C2189C"/>
    <w:rsid w:val="00C23010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15B8"/>
    <w:rsid w:val="00C32430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C9D"/>
    <w:rsid w:val="00D23E0F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6D88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1A55"/>
    <w:rsid w:val="00D723A3"/>
    <w:rsid w:val="00D72B71"/>
    <w:rsid w:val="00D72C72"/>
    <w:rsid w:val="00D73A44"/>
    <w:rsid w:val="00D74AF7"/>
    <w:rsid w:val="00D74FDE"/>
    <w:rsid w:val="00D7600B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B0104"/>
    <w:rsid w:val="00DB16C7"/>
    <w:rsid w:val="00DB21E4"/>
    <w:rsid w:val="00DB2814"/>
    <w:rsid w:val="00DB3E58"/>
    <w:rsid w:val="00DB6697"/>
    <w:rsid w:val="00DB6EF0"/>
    <w:rsid w:val="00DC1B1F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9C8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6BF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476F"/>
    <w:rsid w:val="00EC5455"/>
    <w:rsid w:val="00EC5A28"/>
    <w:rsid w:val="00EC5CC2"/>
    <w:rsid w:val="00EC5DC0"/>
    <w:rsid w:val="00EC66A3"/>
    <w:rsid w:val="00EC7CB2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3023"/>
    <w:rsid w:val="00F33F6C"/>
    <w:rsid w:val="00F344E8"/>
    <w:rsid w:val="00F34B22"/>
    <w:rsid w:val="00F352D9"/>
    <w:rsid w:val="00F379C0"/>
    <w:rsid w:val="00F42655"/>
    <w:rsid w:val="00F430E5"/>
    <w:rsid w:val="00F4324F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nder.ot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00100.8" TargetMode="Externa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otc.ru" TargetMode="External"/><Relationship Id="rId14" Type="http://schemas.openxmlformats.org/officeDocument/2006/relationships/hyperlink" Target="garantF1://18001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8DD81AC3-449B-4AB1-97F7-5AF5E313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3652</TotalTime>
  <Pages>26</Pages>
  <Words>12441</Words>
  <Characters>70917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83192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316</cp:revision>
  <cp:lastPrinted>2020-05-19T05:04:00Z</cp:lastPrinted>
  <dcterms:created xsi:type="dcterms:W3CDTF">2019-01-15T12:23:00Z</dcterms:created>
  <dcterms:modified xsi:type="dcterms:W3CDTF">2020-05-19T05:05:00Z</dcterms:modified>
</cp:coreProperties>
</file>